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27072">
      <w:pPr>
        <w:spacing w:line="560" w:lineRule="exact"/>
        <w:jc w:val="center"/>
        <w:outlineLvl w:val="0"/>
        <w:rPr>
          <w:rFonts w:hint="eastAsia" w:ascii="方正小标宋简体" w:hAnsi="方正小标宋简体" w:eastAsia="方正小标宋简体"/>
          <w:sz w:val="44"/>
          <w:szCs w:val="44"/>
        </w:rPr>
      </w:pPr>
      <w:bookmarkStart w:id="13" w:name="_GoBack"/>
      <w:bookmarkEnd w:id="13"/>
      <w:bookmarkStart w:id="0" w:name="_Toc2054326271"/>
      <w:r>
        <w:rPr>
          <w:rFonts w:hint="eastAsia" w:ascii="方正小标宋简体" w:hAnsi="方正小标宋简体" w:eastAsia="方正小标宋简体"/>
          <w:sz w:val="44"/>
          <w:szCs w:val="44"/>
        </w:rPr>
        <w:t>中国（北京）自由贸易试验区</w:t>
      </w:r>
      <w:r>
        <w:rPr>
          <w:rFonts w:hint="eastAsia" w:ascii="方正小标宋简体" w:hAnsi="方正小标宋简体" w:eastAsia="方正小标宋简体"/>
          <w:sz w:val="44"/>
          <w:szCs w:val="44"/>
          <w:lang w:eastAsia="zh-CN"/>
        </w:rPr>
        <w:t>、</w:t>
      </w:r>
      <w:bookmarkEnd w:id="0"/>
      <w:bookmarkStart w:id="1" w:name="_Toc1202756317"/>
      <w:r>
        <w:rPr>
          <w:rFonts w:hint="eastAsia" w:ascii="方正小标宋简体" w:hAnsi="方正小标宋简体" w:eastAsia="方正小标宋简体"/>
          <w:sz w:val="44"/>
          <w:szCs w:val="44"/>
        </w:rPr>
        <w:t>国家服务业</w:t>
      </w:r>
    </w:p>
    <w:p w14:paraId="175AED63">
      <w:pPr>
        <w:spacing w:line="560" w:lineRule="exact"/>
        <w:jc w:val="center"/>
        <w:outlineLvl w:val="0"/>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扩大开放综合示范区</w:t>
      </w:r>
      <w:bookmarkEnd w:id="1"/>
      <w:bookmarkStart w:id="2" w:name="_Toc1248534071"/>
      <w:r>
        <w:rPr>
          <w:rFonts w:hint="eastAsia" w:ascii="方正小标宋简体" w:hAnsi="方正小标宋简体" w:eastAsia="方正小标宋简体"/>
          <w:sz w:val="44"/>
          <w:szCs w:val="44"/>
        </w:rPr>
        <w:t>数据出境负面清单</w:t>
      </w:r>
    </w:p>
    <w:p w14:paraId="21A1757F">
      <w:pPr>
        <w:spacing w:line="560" w:lineRule="exact"/>
        <w:jc w:val="center"/>
        <w:outlineLvl w:val="0"/>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管理办法（试行）</w:t>
      </w:r>
      <w:bookmarkEnd w:id="2"/>
    </w:p>
    <w:p w14:paraId="00161D6E">
      <w:pPr>
        <w:pStyle w:val="2"/>
        <w:rPr>
          <w:rFonts w:hint="eastAsia"/>
          <w:lang w:eastAsia="zh-CN"/>
        </w:rPr>
      </w:pPr>
    </w:p>
    <w:p w14:paraId="27535150">
      <w:pPr>
        <w:pStyle w:val="10"/>
        <w:shd w:val="clear" w:color="auto" w:fill="FFFFFF"/>
        <w:spacing w:before="0" w:beforeAutospacing="0" w:after="0" w:afterAutospacing="0" w:line="560" w:lineRule="exact"/>
        <w:jc w:val="center"/>
        <w:outlineLvl w:val="1"/>
        <w:rPr>
          <w:rFonts w:ascii="黑体" w:hAnsi="黑体" w:eastAsia="黑体"/>
          <w:b/>
          <w:bCs/>
          <w:sz w:val="32"/>
          <w:szCs w:val="32"/>
        </w:rPr>
      </w:pPr>
      <w:bookmarkStart w:id="3" w:name="_Toc51161713"/>
      <w:r>
        <w:rPr>
          <w:rFonts w:ascii="黑体" w:hAnsi="黑体" w:eastAsia="黑体"/>
          <w:sz w:val="32"/>
          <w:szCs w:val="32"/>
        </w:rPr>
        <w:t>第一章 总 则</w:t>
      </w:r>
      <w:bookmarkEnd w:id="3"/>
    </w:p>
    <w:p w14:paraId="455718BC">
      <w:pPr>
        <w:pStyle w:val="10"/>
        <w:shd w:val="clear" w:color="auto" w:fill="FFFFFF"/>
        <w:spacing w:before="0" w:beforeAutospacing="0" w:after="0" w:afterAutospacing="0" w:line="560" w:lineRule="exact"/>
        <w:rPr>
          <w:rFonts w:ascii="仿宋_GB2312" w:hAnsi="微软雅黑" w:eastAsia="仿宋_GB2312"/>
          <w:sz w:val="32"/>
          <w:szCs w:val="32"/>
        </w:rPr>
      </w:pPr>
    </w:p>
    <w:p w14:paraId="77ADA3BE">
      <w:pPr>
        <w:pStyle w:val="10"/>
        <w:numPr>
          <w:ilvl w:val="0"/>
          <w:numId w:val="1"/>
        </w:numPr>
        <w:shd w:val="clear" w:color="auto" w:fill="FFFFFF"/>
        <w:adjustRightInd w:val="0"/>
        <w:snapToGrid w:val="0"/>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为保障国家数据安全，保护个人信息权益，</w:t>
      </w:r>
      <w:r>
        <w:rPr>
          <w:rFonts w:hint="eastAsia" w:ascii="仿宋_GB2312" w:hAnsi="微软雅黑" w:eastAsia="仿宋_GB2312"/>
          <w:sz w:val="32"/>
          <w:szCs w:val="32"/>
          <w:lang w:eastAsia="zh-CN"/>
        </w:rPr>
        <w:t>复制推广中国（北京）自由贸易试验区数据出境管理成熟经验，</w:t>
      </w:r>
      <w:r>
        <w:rPr>
          <w:rFonts w:hint="eastAsia" w:ascii="仿宋_GB2312" w:hAnsi="微软雅黑" w:eastAsia="仿宋_GB2312"/>
          <w:sz w:val="32"/>
          <w:szCs w:val="32"/>
        </w:rPr>
        <w:t>提升中国（北京）自由贸易试验区、国家服务业扩大开放综合示范区（以下简称“北京市‘两区’”）数据出境管理能力及便利化程度，促进数据高效便利安全跨境流动，根据《网络安全法》《数据安全法》《个人信息保护法》《网络数据安全管理条例》《</w:t>
      </w:r>
      <w:r>
        <w:rPr>
          <w:rFonts w:ascii="仿宋_GB2312" w:hAnsi="微软雅黑" w:eastAsia="仿宋_GB2312"/>
          <w:sz w:val="32"/>
          <w:szCs w:val="32"/>
        </w:rPr>
        <w:t>促进和</w:t>
      </w:r>
      <w:r>
        <w:rPr>
          <w:rFonts w:hint="eastAsia" w:ascii="仿宋_GB2312" w:hAnsi="微软雅黑" w:eastAsia="仿宋_GB2312"/>
          <w:sz w:val="32"/>
          <w:szCs w:val="32"/>
        </w:rPr>
        <w:t>规范</w:t>
      </w:r>
      <w:r>
        <w:rPr>
          <w:rFonts w:ascii="仿宋_GB2312" w:hAnsi="微软雅黑" w:eastAsia="仿宋_GB2312"/>
          <w:sz w:val="32"/>
          <w:szCs w:val="32"/>
        </w:rPr>
        <w:t>数据</w:t>
      </w:r>
      <w:r>
        <w:rPr>
          <w:rFonts w:hint="eastAsia" w:ascii="仿宋_GB2312" w:hAnsi="微软雅黑" w:eastAsia="仿宋_GB2312"/>
          <w:sz w:val="32"/>
          <w:szCs w:val="32"/>
        </w:rPr>
        <w:t>跨境</w:t>
      </w:r>
      <w:r>
        <w:rPr>
          <w:rFonts w:ascii="仿宋_GB2312" w:hAnsi="微软雅黑" w:eastAsia="仿宋_GB2312"/>
          <w:sz w:val="32"/>
          <w:szCs w:val="32"/>
        </w:rPr>
        <w:t>流动规定</w:t>
      </w:r>
      <w:r>
        <w:rPr>
          <w:rFonts w:hint="eastAsia" w:ascii="仿宋_GB2312" w:hAnsi="微软雅黑" w:eastAsia="仿宋_GB2312"/>
          <w:sz w:val="32"/>
          <w:szCs w:val="32"/>
        </w:rPr>
        <w:t>》等法律法规，以及国家有关部委关于数据出境安全管理的制度规定，制定本办法。</w:t>
      </w:r>
    </w:p>
    <w:p w14:paraId="15954693">
      <w:pPr>
        <w:pStyle w:val="10"/>
        <w:numPr>
          <w:ilvl w:val="0"/>
          <w:numId w:val="1"/>
        </w:numPr>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北京市“两区”内开展数据出境负面清单制定审批</w:t>
      </w:r>
      <w:r>
        <w:rPr>
          <w:rFonts w:ascii="仿宋_GB2312" w:hAnsi="微软雅黑" w:eastAsia="仿宋_GB2312"/>
          <w:sz w:val="32"/>
          <w:szCs w:val="32"/>
        </w:rPr>
        <w:t>和使用管理等</w:t>
      </w:r>
      <w:r>
        <w:rPr>
          <w:rFonts w:hint="eastAsia" w:ascii="仿宋_GB2312" w:hAnsi="微软雅黑" w:eastAsia="仿宋_GB2312"/>
          <w:sz w:val="32"/>
          <w:szCs w:val="32"/>
        </w:rPr>
        <w:t>活动，适用本办法。根据《个人信息保护合规审计管理办法》，向</w:t>
      </w:r>
      <w:r>
        <w:rPr>
          <w:rFonts w:ascii="仿宋_GB2312" w:hAnsi="微软雅黑" w:eastAsia="仿宋_GB2312"/>
          <w:sz w:val="32"/>
          <w:szCs w:val="32"/>
        </w:rPr>
        <w:t>被</w:t>
      </w:r>
      <w:r>
        <w:rPr>
          <w:rFonts w:hint="eastAsia" w:ascii="仿宋_GB2312" w:hAnsi="微软雅黑" w:eastAsia="仿宋_GB2312"/>
          <w:sz w:val="32"/>
          <w:szCs w:val="32"/>
        </w:rPr>
        <w:t>列入</w:t>
      </w:r>
      <w:r>
        <w:rPr>
          <w:rFonts w:ascii="仿宋_GB2312" w:hAnsi="微软雅黑" w:eastAsia="仿宋_GB2312"/>
          <w:sz w:val="32"/>
          <w:szCs w:val="32"/>
        </w:rPr>
        <w:t>限制</w:t>
      </w:r>
      <w:r>
        <w:rPr>
          <w:rFonts w:hint="eastAsia" w:ascii="仿宋_GB2312" w:hAnsi="微软雅黑" w:eastAsia="仿宋_GB2312"/>
          <w:sz w:val="32"/>
          <w:szCs w:val="32"/>
        </w:rPr>
        <w:t>或者</w:t>
      </w:r>
      <w:r>
        <w:rPr>
          <w:rFonts w:ascii="仿宋_GB2312" w:hAnsi="微软雅黑" w:eastAsia="仿宋_GB2312"/>
          <w:sz w:val="32"/>
          <w:szCs w:val="32"/>
        </w:rPr>
        <w:t>禁止</w:t>
      </w:r>
      <w:r>
        <w:rPr>
          <w:rFonts w:hint="eastAsia" w:ascii="仿宋_GB2312" w:hAnsi="微软雅黑" w:eastAsia="仿宋_GB2312"/>
          <w:sz w:val="32"/>
          <w:szCs w:val="32"/>
        </w:rPr>
        <w:t>个人</w:t>
      </w:r>
      <w:r>
        <w:rPr>
          <w:rFonts w:ascii="仿宋_GB2312" w:hAnsi="微软雅黑" w:eastAsia="仿宋_GB2312"/>
          <w:sz w:val="32"/>
          <w:szCs w:val="32"/>
        </w:rPr>
        <w:t>信息提供清单的组织和个人提供个人信息，</w:t>
      </w:r>
      <w:r>
        <w:rPr>
          <w:rFonts w:hint="eastAsia" w:ascii="仿宋_GB2312" w:hAnsi="微软雅黑" w:eastAsia="仿宋_GB2312"/>
          <w:sz w:val="32"/>
          <w:szCs w:val="32"/>
        </w:rPr>
        <w:t>不适用</w:t>
      </w:r>
      <w:r>
        <w:rPr>
          <w:rFonts w:ascii="仿宋_GB2312" w:hAnsi="微软雅黑" w:eastAsia="仿宋_GB2312"/>
          <w:sz w:val="32"/>
          <w:szCs w:val="32"/>
        </w:rPr>
        <w:t>于本办法</w:t>
      </w:r>
      <w:r>
        <w:rPr>
          <w:rFonts w:hint="eastAsia" w:ascii="仿宋_GB2312" w:hAnsi="微软雅黑" w:eastAsia="仿宋_GB2312"/>
          <w:sz w:val="32"/>
          <w:szCs w:val="32"/>
        </w:rPr>
        <w:t>。法律、法规和规章另有规定的，依照其规定执行。</w:t>
      </w:r>
    </w:p>
    <w:p w14:paraId="22097442">
      <w:pPr>
        <w:pStyle w:val="10"/>
        <w:numPr>
          <w:ilvl w:val="0"/>
          <w:numId w:val="1"/>
        </w:numPr>
        <w:shd w:val="clear" w:color="auto" w:fill="FFFFFF"/>
        <w:spacing w:before="0" w:beforeAutospacing="0" w:after="0" w:afterAutospacing="0" w:line="560" w:lineRule="exact"/>
        <w:ind w:firstLine="640" w:firstLineChars="200"/>
        <w:jc w:val="both"/>
        <w:rPr>
          <w:rFonts w:ascii="楷体" w:hAnsi="楷体" w:eastAsia="楷体"/>
          <w:sz w:val="32"/>
          <w:szCs w:val="32"/>
        </w:rPr>
      </w:pPr>
      <w:r>
        <w:rPr>
          <w:rFonts w:ascii="仿宋_GB2312" w:hAnsi="微软雅黑" w:eastAsia="仿宋_GB2312"/>
          <w:sz w:val="32"/>
          <w:szCs w:val="32"/>
        </w:rPr>
        <w:t>负面清单管理应坚持以下原则：</w:t>
      </w:r>
    </w:p>
    <w:p w14:paraId="3CB3816C">
      <w:pPr>
        <w:pStyle w:val="10"/>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（一）坚持安全底线。负面清单管理应当遵守法律法规有关规定，建立健全安全管理机制和技术保障能力，在保障数据安全的前提下，推动数据依法有序流动。</w:t>
      </w:r>
    </w:p>
    <w:p w14:paraId="0008B086">
      <w:pPr>
        <w:pStyle w:val="10"/>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（二）助力产业发展。充分考虑数据处理者数据出境实际需求，科学合理制定须纳入</w:t>
      </w:r>
      <w:r>
        <w:rPr>
          <w:rFonts w:ascii="仿宋_GB2312" w:hAnsi="微软雅黑" w:eastAsia="仿宋_GB2312"/>
          <w:sz w:val="32"/>
          <w:szCs w:val="32"/>
        </w:rPr>
        <w:t>负面清单</w:t>
      </w:r>
      <w:r>
        <w:rPr>
          <w:rFonts w:hint="eastAsia" w:ascii="仿宋_GB2312" w:hAnsi="微软雅黑" w:eastAsia="仿宋_GB2312"/>
          <w:sz w:val="32"/>
          <w:szCs w:val="32"/>
        </w:rPr>
        <w:t>的数据范围，最大</w:t>
      </w:r>
      <w:r>
        <w:rPr>
          <w:rFonts w:ascii="仿宋_GB2312" w:hAnsi="微软雅黑" w:eastAsia="仿宋_GB2312"/>
          <w:sz w:val="32"/>
          <w:szCs w:val="32"/>
        </w:rPr>
        <w:t>程度</w:t>
      </w:r>
      <w:r>
        <w:rPr>
          <w:rFonts w:hint="eastAsia" w:ascii="仿宋_GB2312" w:hAnsi="微软雅黑" w:eastAsia="仿宋_GB2312"/>
          <w:sz w:val="32"/>
          <w:szCs w:val="32"/>
        </w:rPr>
        <w:t>便利数据出境活动，促进跨境业务发展。</w:t>
      </w:r>
    </w:p>
    <w:p w14:paraId="1370CE4A">
      <w:pPr>
        <w:pStyle w:val="10"/>
        <w:shd w:val="clear" w:color="auto" w:fill="FFFFFF"/>
        <w:spacing w:before="0" w:beforeAutospacing="0" w:after="0" w:afterAutospacing="0" w:line="560" w:lineRule="exact"/>
        <w:ind w:firstLine="640" w:firstLineChars="200"/>
        <w:jc w:val="both"/>
        <w:rPr>
          <w:rFonts w:ascii="楷体" w:hAnsi="楷体" w:eastAsia="楷体"/>
          <w:sz w:val="32"/>
          <w:szCs w:val="32"/>
        </w:rPr>
      </w:pPr>
      <w:r>
        <w:rPr>
          <w:rFonts w:hint="eastAsia" w:ascii="仿宋_GB2312" w:hAnsi="微软雅黑" w:eastAsia="仿宋_GB2312"/>
          <w:sz w:val="32"/>
          <w:szCs w:val="32"/>
        </w:rPr>
        <w:t>（三）分批分类管理。负面清单按照行业、领域分批次制定。负面清单中的数据项应采取分类管理，按照敏感程度可分为适用数据出境安全评估的数据、适用个人信息出境标准合同备案或个人信息保护认证的数据。</w:t>
      </w:r>
    </w:p>
    <w:p w14:paraId="7DEF846F">
      <w:pPr>
        <w:pStyle w:val="10"/>
        <w:shd w:val="clear" w:color="auto" w:fill="FFFFFF"/>
        <w:spacing w:before="0" w:beforeAutospacing="0" w:after="0" w:afterAutospacing="0" w:line="560" w:lineRule="exact"/>
        <w:ind w:firstLine="640" w:firstLineChars="200"/>
        <w:rPr>
          <w:rFonts w:ascii="仿宋_GB2312" w:hAnsi="微软雅黑" w:eastAsia="仿宋_GB2312"/>
          <w:sz w:val="32"/>
          <w:szCs w:val="32"/>
        </w:rPr>
      </w:pPr>
    </w:p>
    <w:p w14:paraId="3303E734">
      <w:pPr>
        <w:pStyle w:val="10"/>
        <w:shd w:val="clear" w:color="auto" w:fill="FFFFFF"/>
        <w:spacing w:before="0" w:beforeAutospacing="0" w:after="0" w:afterAutospacing="0" w:line="560" w:lineRule="exact"/>
        <w:jc w:val="center"/>
        <w:outlineLvl w:val="1"/>
        <w:rPr>
          <w:rFonts w:ascii="黑体" w:hAnsi="黑体" w:eastAsia="黑体"/>
          <w:sz w:val="32"/>
          <w:szCs w:val="32"/>
        </w:rPr>
      </w:pPr>
      <w:bookmarkStart w:id="4" w:name="_Toc1876999430"/>
      <w:r>
        <w:rPr>
          <w:rFonts w:ascii="黑体" w:hAnsi="黑体" w:eastAsia="黑体"/>
          <w:sz w:val="32"/>
          <w:szCs w:val="32"/>
        </w:rPr>
        <w:t>第</w:t>
      </w:r>
      <w:r>
        <w:rPr>
          <w:rFonts w:hint="eastAsia" w:ascii="黑体" w:hAnsi="黑体" w:eastAsia="黑体"/>
          <w:sz w:val="32"/>
          <w:szCs w:val="32"/>
        </w:rPr>
        <w:t>二</w:t>
      </w:r>
      <w:r>
        <w:rPr>
          <w:rFonts w:ascii="黑体" w:hAnsi="黑体" w:eastAsia="黑体"/>
          <w:sz w:val="32"/>
          <w:szCs w:val="32"/>
        </w:rPr>
        <w:t>章</w:t>
      </w:r>
      <w:r>
        <w:rPr>
          <w:rFonts w:hint="eastAsia" w:ascii="黑体" w:hAnsi="黑体" w:eastAsia="黑体"/>
          <w:sz w:val="32"/>
          <w:szCs w:val="32"/>
        </w:rPr>
        <w:t xml:space="preserve"> 职责及</w:t>
      </w:r>
      <w:r>
        <w:rPr>
          <w:rFonts w:ascii="黑体" w:hAnsi="黑体" w:eastAsia="黑体"/>
          <w:sz w:val="32"/>
          <w:szCs w:val="32"/>
        </w:rPr>
        <w:t>分工</w:t>
      </w:r>
      <w:bookmarkEnd w:id="4"/>
    </w:p>
    <w:p w14:paraId="34556E26">
      <w:pPr>
        <w:pStyle w:val="10"/>
        <w:shd w:val="clear" w:color="auto" w:fill="FFFFFF"/>
        <w:spacing w:before="0" w:beforeAutospacing="0" w:after="0" w:afterAutospacing="0" w:line="560" w:lineRule="exact"/>
        <w:ind w:firstLine="640" w:firstLineChars="200"/>
        <w:rPr>
          <w:rFonts w:ascii="仿宋_GB2312" w:hAnsi="微软雅黑" w:eastAsia="仿宋_GB2312"/>
          <w:sz w:val="32"/>
          <w:szCs w:val="32"/>
        </w:rPr>
      </w:pPr>
    </w:p>
    <w:p w14:paraId="36301033">
      <w:pPr>
        <w:pStyle w:val="10"/>
        <w:numPr>
          <w:ilvl w:val="0"/>
          <w:numId w:val="1"/>
        </w:numPr>
        <w:shd w:val="clear" w:color="auto" w:fill="FFFFFF"/>
        <w:spacing w:before="0" w:beforeAutospacing="0" w:after="0" w:afterAutospacing="0" w:line="560" w:lineRule="exact"/>
        <w:ind w:firstLine="640" w:firstLineChars="200"/>
        <w:jc w:val="both"/>
        <w:rPr>
          <w:rFonts w:ascii="楷体" w:hAnsi="楷体" w:eastAsia="楷体"/>
          <w:sz w:val="32"/>
          <w:szCs w:val="32"/>
          <w:u w:val="none"/>
        </w:rPr>
      </w:pPr>
      <w:r>
        <w:rPr>
          <w:rFonts w:hint="eastAsia" w:ascii="仿宋_GB2312" w:hAnsi="微软雅黑" w:eastAsia="仿宋_GB2312"/>
          <w:sz w:val="32"/>
          <w:szCs w:val="32"/>
          <w:u w:val="none"/>
        </w:rPr>
        <w:t>按照国家数据跨境传输安全管理制度要求，北京市互联网信息办公室、北京市政务服务和数据管理局、北京市商务局</w:t>
      </w:r>
      <w:r>
        <w:rPr>
          <w:rFonts w:hint="eastAsia" w:ascii="仿宋_GB2312" w:hAnsi="微软雅黑" w:eastAsia="仿宋_GB2312"/>
          <w:sz w:val="32"/>
          <w:szCs w:val="32"/>
          <w:u w:val="none"/>
          <w:lang w:eastAsia="zh-CN"/>
        </w:rPr>
        <w:t>、</w:t>
      </w:r>
      <w:r>
        <w:rPr>
          <w:rFonts w:hint="eastAsia" w:ascii="仿宋_GB2312" w:hAnsi="微软雅黑" w:eastAsia="仿宋_GB2312"/>
          <w:sz w:val="32"/>
          <w:szCs w:val="32"/>
          <w:u w:val="none"/>
        </w:rPr>
        <w:t>北京市公安局、北京市国家安全局（统称为</w:t>
      </w:r>
      <w:r>
        <w:rPr>
          <w:rFonts w:ascii="仿宋_GB2312" w:hAnsi="微软雅黑" w:eastAsia="仿宋_GB2312"/>
          <w:sz w:val="32"/>
          <w:szCs w:val="32"/>
          <w:u w:val="none"/>
        </w:rPr>
        <w:t>市级管理部门</w:t>
      </w:r>
      <w:r>
        <w:rPr>
          <w:rFonts w:hint="eastAsia" w:ascii="仿宋_GB2312" w:hAnsi="微软雅黑" w:eastAsia="仿宋_GB2312"/>
          <w:sz w:val="32"/>
          <w:szCs w:val="32"/>
          <w:u w:val="none"/>
        </w:rPr>
        <w:t>）负责建立北京市“两区”数据出境负面清单管理体系并统筹协调相关事宜，按</w:t>
      </w:r>
      <w:r>
        <w:rPr>
          <w:rFonts w:ascii="仿宋_GB2312" w:hAnsi="微软雅黑" w:eastAsia="仿宋_GB2312"/>
          <w:sz w:val="32"/>
          <w:szCs w:val="32"/>
          <w:u w:val="none"/>
        </w:rPr>
        <w:t>职责</w:t>
      </w:r>
      <w:r>
        <w:rPr>
          <w:rFonts w:hint="eastAsia" w:ascii="仿宋_GB2312" w:hAnsi="微软雅黑" w:eastAsia="仿宋_GB2312"/>
          <w:sz w:val="32"/>
          <w:szCs w:val="32"/>
          <w:u w:val="none"/>
        </w:rPr>
        <w:t>指导监督北京市“两区”数据跨境流动活动，分行业、分领域、分批次组织开展负面清单制定工作，履行报审报批流程，建立负面清单动态管理机制等。</w:t>
      </w:r>
    </w:p>
    <w:p w14:paraId="174888D8">
      <w:pPr>
        <w:pStyle w:val="10"/>
        <w:numPr>
          <w:ilvl w:val="0"/>
          <w:numId w:val="0"/>
        </w:numPr>
        <w:shd w:val="clear" w:color="auto" w:fill="FFFFFF"/>
        <w:tabs>
          <w:tab w:val="left" w:pos="10577"/>
        </w:tabs>
        <w:spacing w:before="0" w:beforeAutospacing="0" w:after="0" w:afterAutospacing="0" w:line="560" w:lineRule="exact"/>
        <w:ind w:firstLine="640" w:firstLineChars="200"/>
        <w:jc w:val="both"/>
        <w:rPr>
          <w:rFonts w:ascii="楷体" w:hAnsi="楷体" w:eastAsia="楷体"/>
          <w:sz w:val="32"/>
          <w:szCs w:val="32"/>
        </w:rPr>
      </w:pPr>
      <w:r>
        <w:rPr>
          <w:rFonts w:hint="eastAsia" w:ascii="仿宋_GB2312" w:hAnsi="微软雅黑" w:eastAsia="仿宋_GB2312"/>
          <w:sz w:val="32"/>
          <w:szCs w:val="32"/>
          <w:u w:val="none"/>
        </w:rPr>
        <w:t>北京市公安局、北京市国家安全局依照有关法律、行政法规的规定，在各自职责范围内承担数据</w:t>
      </w:r>
      <w:r>
        <w:rPr>
          <w:rFonts w:hint="eastAsia" w:ascii="仿宋_GB2312" w:hAnsi="微软雅黑" w:eastAsia="仿宋_GB2312"/>
          <w:sz w:val="32"/>
          <w:szCs w:val="32"/>
          <w:u w:val="none"/>
          <w:lang w:val="en-US" w:eastAsia="zh-CN"/>
        </w:rPr>
        <w:t>出境</w:t>
      </w:r>
      <w:r>
        <w:rPr>
          <w:rFonts w:hint="eastAsia" w:ascii="仿宋_GB2312" w:hAnsi="微软雅黑" w:eastAsia="仿宋_GB2312"/>
          <w:sz w:val="32"/>
          <w:szCs w:val="32"/>
          <w:u w:val="none"/>
        </w:rPr>
        <w:t>安全监管职责</w:t>
      </w:r>
      <w:r>
        <w:rPr>
          <w:rFonts w:hint="eastAsia" w:ascii="仿宋_GB2312" w:hAnsi="微软雅黑" w:eastAsia="仿宋_GB2312"/>
          <w:sz w:val="32"/>
          <w:szCs w:val="32"/>
        </w:rPr>
        <w:t>。</w:t>
      </w:r>
    </w:p>
    <w:p w14:paraId="4B3D0E75">
      <w:pPr>
        <w:pStyle w:val="10"/>
        <w:numPr>
          <w:ilvl w:val="0"/>
          <w:numId w:val="1"/>
        </w:numPr>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Style w:val="22"/>
          <w:rFonts w:hint="eastAsia" w:eastAsia="仿宋_GB2312"/>
          <w:sz w:val="32"/>
          <w:szCs w:val="32"/>
          <w:u w:val="none"/>
        </w:rPr>
        <w:t>本市</w:t>
      </w:r>
      <w:r>
        <w:rPr>
          <w:rFonts w:hint="eastAsia" w:ascii="仿宋_GB2312" w:hAnsi="微软雅黑" w:eastAsia="仿宋_GB2312"/>
          <w:sz w:val="32"/>
          <w:szCs w:val="32"/>
          <w:u w:val="none"/>
          <w:lang w:val="en-US" w:eastAsia="zh-CN"/>
        </w:rPr>
        <w:t>各区</w:t>
      </w:r>
      <w:r>
        <w:rPr>
          <w:rFonts w:hint="eastAsia" w:ascii="仿宋_GB2312" w:hAnsi="微软雅黑" w:eastAsia="仿宋_GB2312"/>
          <w:sz w:val="32"/>
          <w:szCs w:val="32"/>
        </w:rPr>
        <w:t>和经开区</w:t>
      </w:r>
      <w:r>
        <w:rPr>
          <w:rFonts w:ascii="仿宋_GB2312" w:hAnsi="楷体_GB2312" w:eastAsia="仿宋_GB2312" w:cs="楷体_GB2312"/>
          <w:sz w:val="32"/>
          <w:szCs w:val="32"/>
        </w:rPr>
        <w:t>确定的工作牵头部门</w:t>
      </w:r>
      <w:r>
        <w:rPr>
          <w:rFonts w:hint="eastAsia" w:ascii="仿宋_GB2312" w:hAnsi="楷体_GB2312" w:eastAsia="仿宋_GB2312" w:cs="楷体_GB2312"/>
          <w:sz w:val="32"/>
          <w:szCs w:val="32"/>
        </w:rPr>
        <w:t>、</w:t>
      </w:r>
      <w:r>
        <w:rPr>
          <w:rFonts w:ascii="仿宋_GB2312" w:hAnsi="楷体_GB2312" w:eastAsia="仿宋_GB2312" w:cs="楷体_GB2312"/>
          <w:sz w:val="32"/>
          <w:szCs w:val="32"/>
          <w:u w:val="none"/>
        </w:rPr>
        <w:t>属地相关职能部门</w:t>
      </w:r>
      <w:r>
        <w:rPr>
          <w:rFonts w:hint="eastAsia" w:ascii="仿宋_GB2312" w:hAnsi="楷体_GB2312" w:eastAsia="仿宋_GB2312" w:cs="楷体_GB2312"/>
          <w:sz w:val="32"/>
          <w:szCs w:val="32"/>
        </w:rPr>
        <w:t>（</w:t>
      </w:r>
      <w:r>
        <w:rPr>
          <w:rFonts w:ascii="仿宋_GB2312" w:hAnsi="楷体_GB2312" w:eastAsia="仿宋_GB2312" w:cs="楷体_GB2312"/>
          <w:sz w:val="32"/>
          <w:szCs w:val="32"/>
        </w:rPr>
        <w:t>统称为区级管理部门</w:t>
      </w:r>
      <w:r>
        <w:rPr>
          <w:rFonts w:hint="eastAsia" w:ascii="仿宋_GB2312" w:hAnsi="楷体_GB2312" w:eastAsia="仿宋_GB2312" w:cs="楷体_GB2312"/>
          <w:sz w:val="32"/>
          <w:szCs w:val="32"/>
        </w:rPr>
        <w:t>）</w:t>
      </w:r>
      <w:r>
        <w:rPr>
          <w:rFonts w:hint="eastAsia" w:ascii="仿宋_GB2312" w:hAnsi="微软雅黑" w:eastAsia="仿宋_GB2312"/>
          <w:sz w:val="32"/>
          <w:szCs w:val="32"/>
        </w:rPr>
        <w:t>负责组织指导本区域内数据处理者开展负面</w:t>
      </w:r>
      <w:r>
        <w:rPr>
          <w:rFonts w:ascii="仿宋_GB2312" w:hAnsi="微软雅黑" w:eastAsia="仿宋_GB2312"/>
          <w:sz w:val="32"/>
          <w:szCs w:val="32"/>
        </w:rPr>
        <w:t>清单</w:t>
      </w:r>
      <w:r>
        <w:rPr>
          <w:rFonts w:hint="eastAsia" w:ascii="仿宋_GB2312" w:hAnsi="微软雅黑" w:eastAsia="仿宋_GB2312"/>
          <w:sz w:val="32"/>
          <w:szCs w:val="32"/>
        </w:rPr>
        <w:t>备案工作、加强数据出境活动的跟踪监督、形成事中存证与事后监管能力等。</w:t>
      </w:r>
    </w:p>
    <w:p w14:paraId="2BDE73E2">
      <w:pPr>
        <w:pStyle w:val="10"/>
        <w:numPr>
          <w:ilvl w:val="0"/>
          <w:numId w:val="0"/>
        </w:numPr>
        <w:shd w:val="clear" w:color="auto" w:fill="FFFFFF"/>
        <w:tabs>
          <w:tab w:val="left" w:pos="10577"/>
        </w:tabs>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u w:val="none"/>
          <w:lang w:val="en-US" w:eastAsia="zh-CN"/>
        </w:rPr>
        <w:t>本市朝阳、海淀、昌平、通州、顺义、大兴、亦庄北京自贸试验区组团的管理部门</w:t>
      </w:r>
      <w:r>
        <w:rPr>
          <w:rFonts w:hint="eastAsia" w:ascii="仿宋_GB2312" w:hAnsi="黑体" w:eastAsia="仿宋_GB2312"/>
          <w:sz w:val="32"/>
          <w:szCs w:val="32"/>
          <w:u w:val="none"/>
        </w:rPr>
        <w:t>充分发挥自贸试验区创新政策</w:t>
      </w:r>
      <w:r>
        <w:rPr>
          <w:rFonts w:hint="eastAsia" w:ascii="仿宋_GB2312" w:hAnsi="黑体" w:eastAsia="仿宋_GB2312"/>
          <w:sz w:val="32"/>
          <w:szCs w:val="32"/>
          <w:u w:val="none"/>
          <w:lang w:eastAsia="zh-CN"/>
        </w:rPr>
        <w:t>压力测试</w:t>
      </w:r>
      <w:r>
        <w:rPr>
          <w:rFonts w:hint="eastAsia" w:ascii="仿宋_GB2312" w:hAnsi="黑体" w:eastAsia="仿宋_GB2312"/>
          <w:sz w:val="32"/>
          <w:szCs w:val="32"/>
          <w:u w:val="none"/>
        </w:rPr>
        <w:t>作用</w:t>
      </w:r>
      <w:r>
        <w:rPr>
          <w:rFonts w:hint="eastAsia" w:ascii="仿宋_GB2312" w:hAnsi="微软雅黑" w:eastAsia="仿宋_GB2312"/>
          <w:sz w:val="32"/>
          <w:szCs w:val="32"/>
          <w:u w:val="none"/>
          <w:lang w:val="en-US" w:eastAsia="zh-CN"/>
        </w:rPr>
        <w:t>，在各职责范围内，积极探索构建数据跨境流动管理新模式，推动数据跨境流动机制创新以及便利化举措落地。</w:t>
      </w:r>
    </w:p>
    <w:p w14:paraId="4B6003BA">
      <w:pPr>
        <w:pStyle w:val="10"/>
        <w:numPr>
          <w:ilvl w:val="0"/>
          <w:numId w:val="1"/>
        </w:numPr>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bookmarkStart w:id="5" w:name="OLE_LINK1"/>
      <w:bookmarkStart w:id="6" w:name="OLE_LINK2"/>
      <w:r>
        <w:rPr>
          <w:rFonts w:hint="eastAsia" w:ascii="仿宋_GB2312" w:hAnsi="微软雅黑" w:eastAsia="仿宋_GB2312"/>
          <w:sz w:val="32"/>
          <w:szCs w:val="32"/>
        </w:rPr>
        <w:t>本市数据跨境服务中心（以下简称服务中心）各站点围绕</w:t>
      </w:r>
      <w:r>
        <w:rPr>
          <w:rFonts w:ascii="仿宋_GB2312" w:hAnsi="微软雅黑" w:eastAsia="仿宋_GB2312"/>
          <w:sz w:val="32"/>
          <w:szCs w:val="32"/>
        </w:rPr>
        <w:t>数据出境政策</w:t>
      </w:r>
      <w:r>
        <w:rPr>
          <w:rFonts w:hint="eastAsia" w:ascii="仿宋_GB2312" w:hAnsi="微软雅黑" w:eastAsia="仿宋_GB2312"/>
          <w:sz w:val="32"/>
          <w:szCs w:val="32"/>
        </w:rPr>
        <w:t>和</w:t>
      </w:r>
      <w:r>
        <w:rPr>
          <w:rFonts w:ascii="仿宋_GB2312" w:hAnsi="微软雅黑" w:eastAsia="仿宋_GB2312"/>
          <w:sz w:val="32"/>
          <w:szCs w:val="32"/>
        </w:rPr>
        <w:t>负面清单</w:t>
      </w:r>
      <w:r>
        <w:rPr>
          <w:rFonts w:hint="eastAsia" w:ascii="仿宋_GB2312" w:hAnsi="微软雅黑" w:eastAsia="仿宋_GB2312"/>
          <w:sz w:val="32"/>
          <w:szCs w:val="32"/>
        </w:rPr>
        <w:t>适用</w:t>
      </w:r>
      <w:r>
        <w:rPr>
          <w:rFonts w:ascii="仿宋_GB2312" w:hAnsi="微软雅黑" w:eastAsia="仿宋_GB2312"/>
          <w:sz w:val="32"/>
          <w:szCs w:val="32"/>
        </w:rPr>
        <w:t>提供咨询</w:t>
      </w:r>
      <w:r>
        <w:rPr>
          <w:rFonts w:hint="eastAsia" w:ascii="仿宋_GB2312" w:hAnsi="微软雅黑" w:eastAsia="仿宋_GB2312"/>
          <w:sz w:val="32"/>
          <w:szCs w:val="32"/>
        </w:rPr>
        <w:t>服务，</w:t>
      </w:r>
      <w:r>
        <w:rPr>
          <w:rFonts w:ascii="仿宋_GB2312" w:hAnsi="微软雅黑" w:eastAsia="仿宋_GB2312"/>
          <w:sz w:val="32"/>
          <w:szCs w:val="32"/>
        </w:rPr>
        <w:t>建立健全</w:t>
      </w:r>
      <w:r>
        <w:rPr>
          <w:rFonts w:hint="eastAsia" w:ascii="仿宋_GB2312" w:hAnsi="微软雅黑" w:eastAsia="仿宋_GB2312"/>
          <w:sz w:val="32"/>
          <w:szCs w:val="32"/>
        </w:rPr>
        <w:t>与数据</w:t>
      </w:r>
      <w:r>
        <w:rPr>
          <w:rFonts w:ascii="仿宋_GB2312" w:hAnsi="微软雅黑" w:eastAsia="仿宋_GB2312"/>
          <w:sz w:val="32"/>
          <w:szCs w:val="32"/>
        </w:rPr>
        <w:t>出境安全评估</w:t>
      </w:r>
      <w:r>
        <w:rPr>
          <w:rFonts w:hint="eastAsia" w:ascii="仿宋_GB2312" w:hAnsi="微软雅黑" w:eastAsia="仿宋_GB2312"/>
          <w:sz w:val="32"/>
          <w:szCs w:val="32"/>
        </w:rPr>
        <w:t>“绿色通道”的</w:t>
      </w:r>
      <w:r>
        <w:rPr>
          <w:rFonts w:ascii="仿宋_GB2312" w:hAnsi="微软雅黑" w:eastAsia="仿宋_GB2312"/>
          <w:sz w:val="32"/>
          <w:szCs w:val="32"/>
        </w:rPr>
        <w:t>对接机制，</w:t>
      </w:r>
      <w:r>
        <w:rPr>
          <w:rFonts w:hint="eastAsia" w:ascii="仿宋_GB2312" w:hAnsi="微软雅黑" w:eastAsia="仿宋_GB2312"/>
          <w:sz w:val="32"/>
          <w:szCs w:val="32"/>
        </w:rPr>
        <w:t>帮助</w:t>
      </w:r>
      <w:r>
        <w:rPr>
          <w:rFonts w:ascii="仿宋_GB2312" w:hAnsi="微软雅黑" w:eastAsia="仿宋_GB2312"/>
          <w:sz w:val="32"/>
          <w:szCs w:val="32"/>
        </w:rPr>
        <w:t>数据处理者高效便利安全开展数据出境活动</w:t>
      </w:r>
      <w:bookmarkEnd w:id="5"/>
      <w:bookmarkEnd w:id="6"/>
      <w:r>
        <w:rPr>
          <w:rFonts w:ascii="仿宋_GB2312" w:hAnsi="微软雅黑" w:eastAsia="仿宋_GB2312"/>
          <w:sz w:val="32"/>
          <w:szCs w:val="32"/>
        </w:rPr>
        <w:t>，</w:t>
      </w:r>
      <w:r>
        <w:rPr>
          <w:rFonts w:hint="eastAsia" w:ascii="仿宋_GB2312" w:hAnsi="微软雅黑" w:eastAsia="仿宋_GB2312"/>
          <w:sz w:val="32"/>
          <w:szCs w:val="32"/>
        </w:rPr>
        <w:t>并协助市、区两级管理部门开展数据出境</w:t>
      </w:r>
      <w:r>
        <w:rPr>
          <w:rFonts w:ascii="仿宋_GB2312" w:hAnsi="微软雅黑" w:eastAsia="仿宋_GB2312"/>
          <w:sz w:val="32"/>
          <w:szCs w:val="32"/>
        </w:rPr>
        <w:t>负面清单</w:t>
      </w:r>
      <w:r>
        <w:rPr>
          <w:rFonts w:hint="eastAsia" w:ascii="仿宋_GB2312" w:hAnsi="微软雅黑" w:eastAsia="仿宋_GB2312"/>
          <w:sz w:val="32"/>
          <w:szCs w:val="32"/>
        </w:rPr>
        <w:t>的</w:t>
      </w:r>
      <w:r>
        <w:rPr>
          <w:rFonts w:ascii="仿宋_GB2312" w:hAnsi="微软雅黑" w:eastAsia="仿宋_GB2312"/>
          <w:sz w:val="32"/>
          <w:szCs w:val="32"/>
        </w:rPr>
        <w:t>使用</w:t>
      </w:r>
      <w:r>
        <w:rPr>
          <w:rFonts w:hint="eastAsia" w:ascii="仿宋_GB2312" w:hAnsi="微软雅黑" w:eastAsia="仿宋_GB2312"/>
          <w:sz w:val="32"/>
          <w:szCs w:val="32"/>
        </w:rPr>
        <w:t>咨询</w:t>
      </w:r>
      <w:r>
        <w:rPr>
          <w:rFonts w:ascii="仿宋_GB2312" w:hAnsi="微软雅黑" w:eastAsia="仿宋_GB2312"/>
          <w:sz w:val="32"/>
          <w:szCs w:val="32"/>
        </w:rPr>
        <w:t>、</w:t>
      </w:r>
      <w:r>
        <w:rPr>
          <w:rFonts w:hint="eastAsia" w:ascii="仿宋_GB2312" w:hAnsi="微软雅黑" w:eastAsia="仿宋_GB2312"/>
          <w:sz w:val="32"/>
          <w:szCs w:val="32"/>
        </w:rPr>
        <w:t>申报</w:t>
      </w:r>
      <w:r>
        <w:rPr>
          <w:rFonts w:ascii="仿宋_GB2312" w:hAnsi="微软雅黑" w:eastAsia="仿宋_GB2312"/>
          <w:sz w:val="32"/>
          <w:szCs w:val="32"/>
        </w:rPr>
        <w:t>材料审核、</w:t>
      </w:r>
      <w:r>
        <w:rPr>
          <w:rFonts w:hint="eastAsia" w:ascii="仿宋_GB2312" w:hAnsi="微软雅黑" w:eastAsia="仿宋_GB2312"/>
          <w:sz w:val="32"/>
          <w:szCs w:val="32"/>
        </w:rPr>
        <w:t>数据出境活动风险研判等</w:t>
      </w:r>
      <w:r>
        <w:rPr>
          <w:rFonts w:ascii="仿宋_GB2312" w:hAnsi="微软雅黑" w:eastAsia="仿宋_GB2312"/>
          <w:sz w:val="32"/>
          <w:szCs w:val="32"/>
        </w:rPr>
        <w:t>相关工作</w:t>
      </w:r>
      <w:r>
        <w:rPr>
          <w:rFonts w:hint="eastAsia" w:ascii="仿宋_GB2312" w:hAnsi="微软雅黑" w:eastAsia="仿宋_GB2312"/>
          <w:sz w:val="32"/>
          <w:szCs w:val="32"/>
        </w:rPr>
        <w:t>。</w:t>
      </w:r>
    </w:p>
    <w:p w14:paraId="72B301E2">
      <w:pPr>
        <w:pStyle w:val="10"/>
        <w:numPr>
          <w:ilvl w:val="0"/>
          <w:numId w:val="1"/>
        </w:numPr>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本办法所称数据处理者，是指北京市“两区”内登记注册、开展数据跨境流动等相关活动的企业、事业单位、机构、团体或其他组织。</w:t>
      </w:r>
    </w:p>
    <w:p w14:paraId="6B84D0CD">
      <w:pPr>
        <w:spacing w:line="560" w:lineRule="exact"/>
        <w:ind w:firstLine="640" w:firstLineChars="200"/>
        <w:rPr>
          <w:rFonts w:ascii="仿宋_GB2312" w:hAnsi="楷体_GB2312" w:eastAsia="仿宋_GB2312" w:cs="楷体_GB2312"/>
          <w:b/>
          <w:sz w:val="32"/>
          <w:szCs w:val="32"/>
        </w:rPr>
      </w:pPr>
      <w:r>
        <w:rPr>
          <w:rFonts w:hint="eastAsia" w:ascii="仿宋_GB2312" w:hAnsi="微软雅黑" w:eastAsia="仿宋_GB2312"/>
          <w:sz w:val="32"/>
          <w:szCs w:val="32"/>
        </w:rPr>
        <w:t>数据处理者应当按照相关规定识别、申报重要数据，按照</w:t>
      </w:r>
      <w:r>
        <w:rPr>
          <w:rStyle w:val="22"/>
          <w:rFonts w:hint="eastAsia" w:eastAsia="仿宋_GB2312"/>
          <w:sz w:val="32"/>
          <w:szCs w:val="32"/>
        </w:rPr>
        <w:t>区级管理部门</w:t>
      </w:r>
      <w:r>
        <w:rPr>
          <w:rFonts w:hint="eastAsia" w:ascii="仿宋_GB2312" w:hAnsi="微软雅黑" w:eastAsia="仿宋_GB2312"/>
          <w:sz w:val="32"/>
          <w:szCs w:val="32"/>
        </w:rPr>
        <w:t>相关要求开展数据出境活动，并</w:t>
      </w:r>
      <w:r>
        <w:rPr>
          <w:rFonts w:hint="eastAsia" w:ascii="仿宋_GB2312" w:eastAsia="仿宋_GB2312"/>
          <w:sz w:val="32"/>
          <w:szCs w:val="32"/>
        </w:rPr>
        <w:t>配合</w:t>
      </w:r>
      <w:r>
        <w:rPr>
          <w:rFonts w:ascii="仿宋_GB2312" w:hAnsi="微软雅黑" w:eastAsia="仿宋_GB2312"/>
          <w:sz w:val="32"/>
          <w:szCs w:val="32"/>
        </w:rPr>
        <w:t>市级管理部门</w:t>
      </w:r>
      <w:r>
        <w:rPr>
          <w:rFonts w:hint="eastAsia" w:ascii="仿宋_GB2312" w:eastAsia="仿宋_GB2312"/>
          <w:sz w:val="32"/>
          <w:szCs w:val="32"/>
        </w:rPr>
        <w:t>、</w:t>
      </w:r>
      <w:r>
        <w:rPr>
          <w:rStyle w:val="22"/>
          <w:rFonts w:hint="eastAsia" w:eastAsia="仿宋_GB2312"/>
          <w:sz w:val="32"/>
          <w:szCs w:val="32"/>
        </w:rPr>
        <w:t>区级管理部门</w:t>
      </w:r>
      <w:r>
        <w:rPr>
          <w:rFonts w:hint="eastAsia" w:ascii="仿宋_GB2312" w:eastAsia="仿宋_GB2312"/>
          <w:sz w:val="32"/>
          <w:szCs w:val="32"/>
        </w:rPr>
        <w:t>开展</w:t>
      </w:r>
      <w:r>
        <w:rPr>
          <w:rFonts w:hint="eastAsia" w:ascii="仿宋_GB2312" w:hAnsi="微软雅黑" w:eastAsia="仿宋_GB2312"/>
          <w:sz w:val="32"/>
          <w:szCs w:val="32"/>
          <w:u w:val="none"/>
        </w:rPr>
        <w:t>一致性抽验</w:t>
      </w:r>
      <w:r>
        <w:rPr>
          <w:rFonts w:hint="eastAsia" w:ascii="仿宋_GB2312" w:eastAsia="仿宋_GB2312"/>
          <w:sz w:val="32"/>
          <w:szCs w:val="32"/>
        </w:rPr>
        <w:t>和</w:t>
      </w:r>
      <w:r>
        <w:rPr>
          <w:rFonts w:ascii="仿宋_GB2312" w:eastAsia="仿宋_GB2312"/>
          <w:sz w:val="32"/>
          <w:szCs w:val="32"/>
        </w:rPr>
        <w:t>监督检查</w:t>
      </w:r>
      <w:r>
        <w:rPr>
          <w:rFonts w:hint="eastAsia" w:ascii="仿宋_GB2312" w:eastAsia="仿宋_GB2312"/>
          <w:sz w:val="32"/>
          <w:szCs w:val="32"/>
        </w:rPr>
        <w:t>等工作。</w:t>
      </w:r>
    </w:p>
    <w:p w14:paraId="496840B7">
      <w:pPr>
        <w:pStyle w:val="10"/>
        <w:numPr>
          <w:ilvl w:val="255"/>
          <w:numId w:val="0"/>
        </w:numPr>
        <w:shd w:val="clear" w:color="auto" w:fill="FFFFFF"/>
        <w:spacing w:before="0" w:beforeAutospacing="0" w:after="0" w:afterAutospacing="0" w:line="560" w:lineRule="exact"/>
        <w:rPr>
          <w:rFonts w:ascii="仿宋_GB2312" w:hAnsi="微软雅黑" w:eastAsia="仿宋_GB2312"/>
          <w:sz w:val="32"/>
          <w:szCs w:val="32"/>
        </w:rPr>
      </w:pPr>
    </w:p>
    <w:p w14:paraId="2AB4E2CA">
      <w:pPr>
        <w:pStyle w:val="10"/>
        <w:shd w:val="clear" w:color="auto" w:fill="FFFFFF"/>
        <w:spacing w:before="0" w:beforeAutospacing="0" w:after="0" w:afterAutospacing="0" w:line="560" w:lineRule="exact"/>
        <w:jc w:val="center"/>
        <w:outlineLvl w:val="1"/>
        <w:rPr>
          <w:rFonts w:ascii="黑体" w:hAnsi="黑体" w:eastAsia="黑体"/>
          <w:sz w:val="32"/>
          <w:szCs w:val="32"/>
        </w:rPr>
      </w:pPr>
      <w:bookmarkStart w:id="7" w:name="_Toc846357695"/>
      <w:r>
        <w:rPr>
          <w:rFonts w:ascii="黑体" w:hAnsi="黑体" w:eastAsia="黑体"/>
          <w:sz w:val="32"/>
          <w:szCs w:val="32"/>
        </w:rPr>
        <w:t>第</w:t>
      </w:r>
      <w:r>
        <w:rPr>
          <w:rFonts w:hint="eastAsia" w:ascii="黑体" w:hAnsi="黑体" w:eastAsia="黑体"/>
          <w:sz w:val="32"/>
          <w:szCs w:val="32"/>
        </w:rPr>
        <w:t>三</w:t>
      </w:r>
      <w:r>
        <w:rPr>
          <w:rFonts w:ascii="黑体" w:hAnsi="黑体" w:eastAsia="黑体"/>
          <w:sz w:val="32"/>
          <w:szCs w:val="32"/>
        </w:rPr>
        <w:t>章</w:t>
      </w:r>
      <w:r>
        <w:rPr>
          <w:rFonts w:hint="eastAsia" w:ascii="黑体" w:hAnsi="黑体" w:eastAsia="黑体"/>
          <w:sz w:val="32"/>
          <w:szCs w:val="32"/>
        </w:rPr>
        <w:t xml:space="preserve"> 负面清单制定及管理</w:t>
      </w:r>
      <w:bookmarkEnd w:id="7"/>
    </w:p>
    <w:p w14:paraId="09688907">
      <w:pPr>
        <w:pStyle w:val="10"/>
        <w:shd w:val="clear" w:color="auto" w:fill="FFFFFF"/>
        <w:spacing w:before="0" w:beforeAutospacing="0" w:after="0" w:afterAutospacing="0" w:line="560" w:lineRule="exact"/>
        <w:ind w:firstLine="640" w:firstLineChars="200"/>
        <w:rPr>
          <w:rFonts w:ascii="仿宋_GB2312" w:hAnsi="微软雅黑" w:eastAsia="仿宋_GB2312"/>
          <w:sz w:val="32"/>
          <w:szCs w:val="32"/>
        </w:rPr>
      </w:pPr>
    </w:p>
    <w:p w14:paraId="72A99994">
      <w:pPr>
        <w:pStyle w:val="10"/>
        <w:numPr>
          <w:ilvl w:val="0"/>
          <w:numId w:val="1"/>
        </w:numPr>
        <w:shd w:val="clear" w:color="auto" w:fill="FFFFFF"/>
        <w:spacing w:before="0" w:beforeAutospacing="0" w:after="0" w:afterAutospacing="0" w:line="560" w:lineRule="exact"/>
        <w:ind w:firstLine="640" w:firstLineChars="200"/>
        <w:jc w:val="both"/>
        <w:rPr>
          <w:rFonts w:ascii="楷体" w:hAnsi="楷体" w:eastAsia="楷体"/>
          <w:sz w:val="32"/>
          <w:szCs w:val="32"/>
        </w:rPr>
      </w:pPr>
      <w:r>
        <w:rPr>
          <w:rFonts w:hint="eastAsia" w:ascii="仿宋_GB2312" w:hAnsi="微软雅黑" w:eastAsia="仿宋_GB2312"/>
          <w:sz w:val="32"/>
          <w:szCs w:val="32"/>
        </w:rPr>
        <w:t>负面清单制定主要包括以下工作流程：</w:t>
      </w:r>
    </w:p>
    <w:p w14:paraId="17C4A71E">
      <w:pPr>
        <w:pStyle w:val="10"/>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（一）需求调研。聚焦北京市“两区”产业发展和数据处理者实际需求，遴选重点行业、领域组织开展调研，从业务场景、类别、量级、字段等方面摸排掌握出境数据情况，作为负面清单制定依据。</w:t>
      </w:r>
    </w:p>
    <w:p w14:paraId="7D7757C0">
      <w:pPr>
        <w:pStyle w:val="10"/>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二）重要数据识别。在本市数据安全工作协调机制统筹协调下，本市数据安全工作协调机制办公室依据《数据安全法》及相关法律、法规和规定，组织相关行业主管部门明确重要数据识别标准，对数据进行分类分级，形成重要数据目录，并按程序向国家数据安全工作协调机制办公室备案。行业主管部门已公开发布或已在行业内部发布本行业、本领域数据分类分级标准规范的，优先按照其规定识别重要数据；行业主管部门未明确判定标准的，参照《</w:t>
      </w:r>
      <w:r>
        <w:rPr>
          <w:rFonts w:hint="eastAsia" w:ascii="仿宋_GB2312" w:hAnsi="仿宋_GB2312" w:eastAsia="仿宋_GB2312" w:cs="仿宋_GB2312"/>
          <w:sz w:val="32"/>
          <w:szCs w:val="32"/>
        </w:rPr>
        <w:t>中国（北京）自由贸易试验区、国家服务业扩大开放综合示范区</w:t>
      </w:r>
      <w:r>
        <w:rPr>
          <w:rFonts w:hint="eastAsia" w:ascii="仿宋_GB2312" w:hAnsi="微软雅黑" w:eastAsia="仿宋_GB2312"/>
          <w:sz w:val="32"/>
          <w:szCs w:val="32"/>
        </w:rPr>
        <w:t>数据分类分级参考规则》开展重要数据识别</w:t>
      </w:r>
      <w:r>
        <w:rPr>
          <w:rFonts w:ascii="仿宋_GB2312" w:hAnsi="微软雅黑" w:eastAsia="仿宋_GB2312"/>
          <w:sz w:val="32"/>
          <w:szCs w:val="32"/>
        </w:rPr>
        <w:t>工作</w:t>
      </w:r>
      <w:r>
        <w:rPr>
          <w:rFonts w:hint="eastAsia" w:ascii="仿宋_GB2312" w:hAnsi="微软雅黑" w:eastAsia="仿宋_GB2312"/>
          <w:sz w:val="32"/>
          <w:szCs w:val="32"/>
        </w:rPr>
        <w:t>。</w:t>
      </w:r>
    </w:p>
    <w:p w14:paraId="4E714651">
      <w:pPr>
        <w:pStyle w:val="10"/>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（三）业务场景分析。结合调研结果及重要数据识别结果，选取数据出境需求迫切、流动频繁的业务场景，对数据出境的规模、范围和频率进行分析，为风险可控的数据出境业务场景合理设置数据项及数据量级。</w:t>
      </w:r>
    </w:p>
    <w:p w14:paraId="46D7E473">
      <w:pPr>
        <w:pStyle w:val="10"/>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（四）论证与征求</w:t>
      </w:r>
      <w:r>
        <w:rPr>
          <w:rFonts w:ascii="仿宋_GB2312" w:hAnsi="微软雅黑" w:eastAsia="仿宋_GB2312"/>
          <w:sz w:val="32"/>
          <w:szCs w:val="32"/>
        </w:rPr>
        <w:t>意见</w:t>
      </w:r>
      <w:r>
        <w:rPr>
          <w:rFonts w:hint="eastAsia" w:ascii="仿宋_GB2312" w:hAnsi="微软雅黑" w:eastAsia="仿宋_GB2312"/>
          <w:sz w:val="32"/>
          <w:szCs w:val="32"/>
        </w:rPr>
        <w:t>。邀请行业、法律、数据安全等领域专家开展评审论证，并征求市级行业主管部门、有关职能部门意见，进一步</w:t>
      </w:r>
      <w:r>
        <w:rPr>
          <w:rFonts w:ascii="仿宋_GB2312" w:hAnsi="微软雅黑" w:eastAsia="仿宋_GB2312"/>
          <w:sz w:val="32"/>
          <w:szCs w:val="32"/>
        </w:rPr>
        <w:t>修订完善。</w:t>
      </w:r>
    </w:p>
    <w:p w14:paraId="6A3D19B0">
      <w:pPr>
        <w:pStyle w:val="10"/>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（五）履行审批报备流程。负面清单应</w:t>
      </w:r>
      <w:r>
        <w:rPr>
          <w:rFonts w:ascii="仿宋_GB2312" w:hAnsi="微软雅黑" w:eastAsia="仿宋_GB2312"/>
          <w:sz w:val="32"/>
          <w:szCs w:val="32"/>
        </w:rPr>
        <w:t>经</w:t>
      </w:r>
      <w:r>
        <w:rPr>
          <w:rFonts w:hint="eastAsia" w:ascii="仿宋_GB2312" w:hAnsi="微软雅黑" w:eastAsia="仿宋_GB2312"/>
          <w:sz w:val="32"/>
          <w:szCs w:val="32"/>
        </w:rPr>
        <w:t>北京市数据安全工作协调机制审核通过后，报市委网络安全和信息化委员会批准，由北京市互联网信息办公室</w:t>
      </w:r>
      <w:r>
        <w:rPr>
          <w:rFonts w:ascii="仿宋_GB2312" w:hAnsi="微软雅黑" w:eastAsia="仿宋_GB2312"/>
          <w:sz w:val="32"/>
          <w:szCs w:val="32"/>
        </w:rPr>
        <w:t>、北京</w:t>
      </w:r>
      <w:r>
        <w:rPr>
          <w:rFonts w:hint="eastAsia" w:ascii="仿宋_GB2312" w:hAnsi="微软雅黑" w:eastAsia="仿宋_GB2312"/>
          <w:sz w:val="32"/>
          <w:szCs w:val="32"/>
        </w:rPr>
        <w:t>市政务服务和数据管理局联合报国家网信部门、国家数据管理部门备案。</w:t>
      </w:r>
    </w:p>
    <w:p w14:paraId="4AAF3612">
      <w:pPr>
        <w:pStyle w:val="10"/>
        <w:numPr>
          <w:ilvl w:val="0"/>
          <w:numId w:val="1"/>
        </w:numPr>
        <w:shd w:val="clear" w:color="auto" w:fill="FFFFFF"/>
        <w:spacing w:before="0" w:beforeAutospacing="0" w:after="0" w:afterAutospacing="0" w:line="560" w:lineRule="exact"/>
        <w:ind w:firstLine="640" w:firstLineChars="200"/>
        <w:jc w:val="both"/>
        <w:rPr>
          <w:rFonts w:ascii="楷体" w:hAnsi="楷体" w:eastAsia="楷体"/>
          <w:sz w:val="32"/>
          <w:szCs w:val="32"/>
        </w:rPr>
      </w:pPr>
      <w:r>
        <w:rPr>
          <w:rFonts w:ascii="仿宋_GB2312" w:hAnsi="微软雅黑" w:eastAsia="仿宋_GB2312"/>
          <w:sz w:val="32"/>
          <w:szCs w:val="32"/>
        </w:rPr>
        <w:t>负面清单应至少包含以下两方面</w:t>
      </w:r>
      <w:r>
        <w:rPr>
          <w:rFonts w:hint="eastAsia" w:ascii="仿宋_GB2312" w:hAnsi="微软雅黑" w:eastAsia="仿宋_GB2312"/>
          <w:sz w:val="32"/>
          <w:szCs w:val="32"/>
        </w:rPr>
        <w:t>：</w:t>
      </w:r>
    </w:p>
    <w:p w14:paraId="42464781">
      <w:pPr>
        <w:pStyle w:val="10"/>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（一）需要通过数据出境安全评估的数据清单，主要包括：</w:t>
      </w:r>
    </w:p>
    <w:p w14:paraId="36280E6F">
      <w:pPr>
        <w:pStyle w:val="10"/>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1.关键信息基础设施运营者向境外提供个人信息或者重要数据；</w:t>
      </w:r>
    </w:p>
    <w:p w14:paraId="0D6A86D1">
      <w:pPr>
        <w:pStyle w:val="10"/>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2.关键信息基础设施运营者以外的数据处理者向境外提供重要数据，或者向境外提供达到负面清单要求申报数据出境安全评估的个人信息。</w:t>
      </w:r>
    </w:p>
    <w:p w14:paraId="01C008B1">
      <w:pPr>
        <w:pStyle w:val="10"/>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（二）需要通过个人信息出境标准合同备案、个人信息保护认证出境的数据清单，主要包括：</w:t>
      </w:r>
    </w:p>
    <w:p w14:paraId="0733B84A">
      <w:pPr>
        <w:pStyle w:val="10"/>
        <w:shd w:val="clear" w:color="auto" w:fill="FFFFFF"/>
        <w:spacing w:before="0" w:beforeAutospacing="0" w:after="0" w:afterAutospacing="0" w:line="560" w:lineRule="exact"/>
        <w:ind w:firstLine="640" w:firstLineChars="200"/>
        <w:jc w:val="both"/>
        <w:rPr>
          <w:rFonts w:ascii="楷体" w:hAnsi="楷体" w:eastAsia="楷体"/>
          <w:sz w:val="32"/>
          <w:szCs w:val="32"/>
        </w:rPr>
      </w:pPr>
      <w:r>
        <w:rPr>
          <w:rFonts w:hint="eastAsia" w:ascii="仿宋_GB2312" w:hAnsi="微软雅黑" w:eastAsia="仿宋_GB2312"/>
          <w:sz w:val="32"/>
          <w:szCs w:val="32"/>
        </w:rPr>
        <w:t>关键信息基础设施运营者以外的数据处理者向境外提供达到负面清单要求订立个人信息出境标准合同或者通过个人信息保护认证的个人信息。</w:t>
      </w:r>
    </w:p>
    <w:p w14:paraId="7248429D">
      <w:pPr>
        <w:pStyle w:val="10"/>
        <w:numPr>
          <w:ilvl w:val="0"/>
          <w:numId w:val="1"/>
        </w:numPr>
        <w:shd w:val="clear" w:color="auto" w:fill="FFFFFF"/>
        <w:spacing w:before="0" w:beforeAutospacing="0" w:after="0" w:afterAutospacing="0" w:line="54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负面清单实行动态管理。</w:t>
      </w:r>
      <w:r>
        <w:rPr>
          <w:rFonts w:ascii="仿宋_GB2312" w:hAnsi="微软雅黑" w:eastAsia="仿宋_GB2312"/>
          <w:sz w:val="32"/>
          <w:szCs w:val="32"/>
        </w:rPr>
        <w:t>市级管理部门</w:t>
      </w:r>
      <w:r>
        <w:rPr>
          <w:rFonts w:ascii="仿宋_GB2312" w:hAnsi="黑体" w:eastAsia="仿宋_GB2312"/>
          <w:sz w:val="32"/>
          <w:szCs w:val="32"/>
        </w:rPr>
        <w:t>对于已出台的</w:t>
      </w:r>
      <w:r>
        <w:rPr>
          <w:rFonts w:ascii="仿宋_GB2312" w:hAnsi="微软雅黑" w:eastAsia="仿宋_GB2312"/>
          <w:sz w:val="32"/>
          <w:szCs w:val="32"/>
        </w:rPr>
        <w:t>负面清单，</w:t>
      </w:r>
      <w:r>
        <w:rPr>
          <w:rFonts w:hint="eastAsia" w:ascii="仿宋_GB2312" w:hAnsi="微软雅黑" w:eastAsia="仿宋_GB2312"/>
          <w:sz w:val="32"/>
          <w:szCs w:val="32"/>
        </w:rPr>
        <w:t>跟踪评估实施情况和安全风险，</w:t>
      </w:r>
      <w:r>
        <w:rPr>
          <w:rFonts w:hint="eastAsia" w:ascii="仿宋_GB2312" w:hAnsi="黑体" w:eastAsia="仿宋_GB2312"/>
          <w:sz w:val="32"/>
          <w:szCs w:val="32"/>
        </w:rPr>
        <w:t>统筹开展负面清单修订工作</w:t>
      </w:r>
      <w:r>
        <w:rPr>
          <w:rFonts w:ascii="仿宋_GB2312" w:hAnsi="黑体" w:eastAsia="仿宋_GB2312"/>
          <w:sz w:val="32"/>
          <w:szCs w:val="32"/>
        </w:rPr>
        <w:t>。</w:t>
      </w:r>
      <w:r>
        <w:rPr>
          <w:rFonts w:hint="eastAsia" w:ascii="仿宋_GB2312" w:hAnsi="黑体" w:eastAsia="仿宋_GB2312"/>
          <w:sz w:val="32"/>
          <w:szCs w:val="32"/>
        </w:rPr>
        <w:t>对于</w:t>
      </w:r>
      <w:r>
        <w:rPr>
          <w:rFonts w:ascii="仿宋_GB2312" w:hAnsi="微软雅黑" w:eastAsia="仿宋_GB2312"/>
          <w:sz w:val="32"/>
          <w:szCs w:val="32"/>
        </w:rPr>
        <w:t>尚未出台负面清单的行业、领域</w:t>
      </w:r>
      <w:r>
        <w:rPr>
          <w:rFonts w:hint="eastAsia" w:ascii="仿宋_GB2312" w:hAnsi="微软雅黑" w:eastAsia="仿宋_GB2312"/>
          <w:sz w:val="32"/>
          <w:szCs w:val="32"/>
        </w:rPr>
        <w:t>，</w:t>
      </w:r>
      <w:r>
        <w:rPr>
          <w:rFonts w:ascii="仿宋_GB2312" w:hAnsi="微软雅黑" w:eastAsia="仿宋_GB2312"/>
          <w:sz w:val="32"/>
          <w:szCs w:val="32"/>
        </w:rPr>
        <w:t>及时研判数据出境实际需求，</w:t>
      </w:r>
      <w:r>
        <w:rPr>
          <w:rFonts w:hint="eastAsia" w:ascii="仿宋_GB2312" w:hAnsi="微软雅黑" w:eastAsia="仿宋_GB2312"/>
          <w:sz w:val="32"/>
          <w:szCs w:val="32"/>
        </w:rPr>
        <w:t>研究制定相应行业、领域负面清单，</w:t>
      </w:r>
      <w:r>
        <w:rPr>
          <w:rFonts w:hint="eastAsia" w:ascii="仿宋_GB2312" w:hAnsi="仿宋_GB2312" w:eastAsia="仿宋_GB2312" w:cs="仿宋_GB2312"/>
          <w:sz w:val="32"/>
          <w:szCs w:val="32"/>
        </w:rPr>
        <w:t>不断完善</w:t>
      </w:r>
      <w:r>
        <w:rPr>
          <w:rFonts w:hint="eastAsia" w:ascii="仿宋_GB2312" w:hAnsi="微软雅黑" w:eastAsia="仿宋_GB2312"/>
          <w:sz w:val="32"/>
          <w:szCs w:val="32"/>
        </w:rPr>
        <w:t>北京市“两区”</w:t>
      </w:r>
      <w:r>
        <w:rPr>
          <w:rFonts w:ascii="仿宋_GB2312" w:hAnsi="仿宋_GB2312" w:eastAsia="仿宋_GB2312" w:cs="仿宋_GB2312"/>
          <w:sz w:val="32"/>
          <w:szCs w:val="32"/>
        </w:rPr>
        <w:t>数据跨境流动管理政策体系。</w:t>
      </w:r>
    </w:p>
    <w:p w14:paraId="61521579">
      <w:pPr>
        <w:pStyle w:val="10"/>
        <w:shd w:val="clear" w:color="auto" w:fill="FFFFFF"/>
        <w:tabs>
          <w:tab w:val="left" w:pos="10577"/>
        </w:tabs>
        <w:spacing w:before="0" w:beforeAutospacing="0" w:after="0" w:afterAutospacing="0" w:line="54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全国</w:t>
      </w:r>
      <w:r>
        <w:rPr>
          <w:rFonts w:ascii="仿宋_GB2312" w:hAnsi="微软雅黑" w:eastAsia="仿宋_GB2312"/>
          <w:sz w:val="32"/>
          <w:szCs w:val="32"/>
        </w:rPr>
        <w:t>其他省市</w:t>
      </w:r>
      <w:r>
        <w:rPr>
          <w:rFonts w:hint="eastAsia" w:ascii="仿宋_GB2312" w:hAnsi="微软雅黑" w:eastAsia="仿宋_GB2312"/>
          <w:sz w:val="32"/>
          <w:szCs w:val="32"/>
        </w:rPr>
        <w:t>自由贸易试验区</w:t>
      </w:r>
      <w:r>
        <w:rPr>
          <w:rFonts w:ascii="仿宋_GB2312" w:hAnsi="微软雅黑" w:eastAsia="仿宋_GB2312"/>
          <w:sz w:val="32"/>
          <w:szCs w:val="32"/>
        </w:rPr>
        <w:t>、自由贸易港、</w:t>
      </w:r>
      <w:r>
        <w:rPr>
          <w:rFonts w:hint="eastAsia" w:ascii="仿宋_GB2312" w:hAnsi="微软雅黑" w:eastAsia="仿宋_GB2312"/>
          <w:sz w:val="32"/>
          <w:szCs w:val="32"/>
        </w:rPr>
        <w:t>改革</w:t>
      </w:r>
      <w:r>
        <w:rPr>
          <w:rFonts w:ascii="仿宋_GB2312" w:hAnsi="微软雅黑" w:eastAsia="仿宋_GB2312"/>
          <w:sz w:val="32"/>
          <w:szCs w:val="32"/>
        </w:rPr>
        <w:t>开放先行区、国家服务业</w:t>
      </w:r>
      <w:r>
        <w:rPr>
          <w:rFonts w:hint="eastAsia" w:ascii="仿宋_GB2312" w:hAnsi="微软雅黑" w:eastAsia="仿宋_GB2312"/>
          <w:sz w:val="32"/>
          <w:szCs w:val="32"/>
        </w:rPr>
        <w:t>扩大开放</w:t>
      </w:r>
      <w:r>
        <w:rPr>
          <w:rFonts w:hint="eastAsia" w:ascii="仿宋_GB2312" w:hAnsi="微软雅黑" w:eastAsia="仿宋_GB2312"/>
          <w:sz w:val="32"/>
          <w:szCs w:val="32"/>
          <w:lang w:val="en-US" w:eastAsia="zh-CN"/>
        </w:rPr>
        <w:t>综合</w:t>
      </w:r>
      <w:r>
        <w:rPr>
          <w:rFonts w:ascii="仿宋_GB2312" w:hAnsi="微软雅黑" w:eastAsia="仿宋_GB2312"/>
          <w:sz w:val="32"/>
          <w:szCs w:val="32"/>
        </w:rPr>
        <w:t>试点</w:t>
      </w:r>
      <w:r>
        <w:rPr>
          <w:rFonts w:hint="eastAsia" w:ascii="仿宋_GB2312" w:hAnsi="微软雅黑" w:eastAsia="仿宋_GB2312"/>
          <w:sz w:val="32"/>
          <w:szCs w:val="32"/>
        </w:rPr>
        <w:t>地</w:t>
      </w:r>
      <w:r>
        <w:rPr>
          <w:rFonts w:ascii="仿宋_GB2312" w:hAnsi="微软雅黑" w:eastAsia="仿宋_GB2312"/>
          <w:sz w:val="32"/>
          <w:szCs w:val="32"/>
        </w:rPr>
        <w:t>区正式发布的</w:t>
      </w:r>
      <w:r>
        <w:rPr>
          <w:rFonts w:hint="eastAsia" w:ascii="仿宋_GB2312" w:hAnsi="微软雅黑" w:eastAsia="仿宋_GB2312"/>
          <w:sz w:val="32"/>
          <w:szCs w:val="32"/>
        </w:rPr>
        <w:t>数据</w:t>
      </w:r>
      <w:r>
        <w:rPr>
          <w:rFonts w:ascii="仿宋_GB2312" w:hAnsi="微软雅黑" w:eastAsia="仿宋_GB2312"/>
          <w:sz w:val="32"/>
          <w:szCs w:val="32"/>
        </w:rPr>
        <w:t>出境负面清单，北</w:t>
      </w:r>
      <w:r>
        <w:rPr>
          <w:rFonts w:hint="eastAsia" w:ascii="仿宋_GB2312" w:hAnsi="微软雅黑" w:eastAsia="仿宋_GB2312"/>
          <w:sz w:val="32"/>
          <w:szCs w:val="32"/>
        </w:rPr>
        <w:t>京市“两区”</w:t>
      </w:r>
      <w:r>
        <w:rPr>
          <w:rFonts w:hint="eastAsia" w:ascii="仿宋_GB2312" w:hAnsi="微软雅黑" w:eastAsia="仿宋_GB2312"/>
          <w:color w:val="auto"/>
          <w:sz w:val="32"/>
          <w:szCs w:val="32"/>
          <w:u w:val="none"/>
          <w:lang w:val="en-US" w:eastAsia="zh-CN"/>
        </w:rPr>
        <w:t>确需参照适用的特定领域，应在国家数据分类分级保护制度框架下，由市级管理部门对拟参照适用的负面清单逐一组织开展需求分析和风险评估，经北京市数据安全工作协调机制审核通过后，报市委网络安全和信息化委员会批准，由北京市互联网信息办公室、北京市政务服务和数据管理局联合报国家网信部门、国家数据管理部门备案</w:t>
      </w:r>
      <w:r>
        <w:rPr>
          <w:rFonts w:hint="eastAsia" w:ascii="仿宋_GB2312" w:hAnsi="黑体" w:eastAsia="仿宋_GB2312"/>
          <w:sz w:val="32"/>
          <w:szCs w:val="32"/>
        </w:rPr>
        <w:t>。</w:t>
      </w:r>
    </w:p>
    <w:p w14:paraId="65C572AF">
      <w:pPr>
        <w:pStyle w:val="10"/>
        <w:shd w:val="clear" w:color="auto" w:fill="FFFFFF"/>
        <w:spacing w:before="0" w:beforeAutospacing="0" w:after="0" w:afterAutospacing="0" w:line="560" w:lineRule="exact"/>
        <w:jc w:val="center"/>
        <w:rPr>
          <w:rFonts w:ascii="黑体" w:hAnsi="黑体" w:eastAsia="黑体"/>
          <w:sz w:val="32"/>
          <w:szCs w:val="32"/>
        </w:rPr>
      </w:pPr>
    </w:p>
    <w:p w14:paraId="4A696C7E">
      <w:pPr>
        <w:pStyle w:val="10"/>
        <w:shd w:val="clear" w:color="auto" w:fill="FFFFFF"/>
        <w:spacing w:before="0" w:beforeAutospacing="0" w:after="0" w:afterAutospacing="0" w:line="560" w:lineRule="exact"/>
        <w:jc w:val="center"/>
        <w:outlineLvl w:val="1"/>
        <w:rPr>
          <w:rFonts w:ascii="黑体" w:hAnsi="黑体" w:eastAsia="黑体"/>
          <w:sz w:val="32"/>
          <w:szCs w:val="32"/>
        </w:rPr>
      </w:pPr>
      <w:bookmarkStart w:id="8" w:name="_Toc1902881955"/>
      <w:r>
        <w:rPr>
          <w:rFonts w:ascii="黑体" w:hAnsi="黑体" w:eastAsia="黑体"/>
          <w:sz w:val="32"/>
          <w:szCs w:val="32"/>
        </w:rPr>
        <w:t>第</w:t>
      </w:r>
      <w:r>
        <w:rPr>
          <w:rFonts w:hint="eastAsia" w:ascii="黑体" w:hAnsi="黑体" w:eastAsia="黑体"/>
          <w:sz w:val="32"/>
          <w:szCs w:val="32"/>
        </w:rPr>
        <w:t>四</w:t>
      </w:r>
      <w:r>
        <w:rPr>
          <w:rFonts w:ascii="黑体" w:hAnsi="黑体" w:eastAsia="黑体"/>
          <w:sz w:val="32"/>
          <w:szCs w:val="32"/>
        </w:rPr>
        <w:t xml:space="preserve">章 </w:t>
      </w:r>
      <w:r>
        <w:rPr>
          <w:rFonts w:hint="eastAsia" w:ascii="黑体" w:hAnsi="黑体" w:eastAsia="黑体"/>
          <w:sz w:val="32"/>
          <w:szCs w:val="32"/>
        </w:rPr>
        <w:t>负面清单实施</w:t>
      </w:r>
      <w:bookmarkEnd w:id="8"/>
    </w:p>
    <w:p w14:paraId="1C444E53">
      <w:pPr>
        <w:pStyle w:val="10"/>
        <w:shd w:val="clear" w:color="auto" w:fill="FFFFFF"/>
        <w:spacing w:before="0" w:beforeAutospacing="0" w:after="0" w:afterAutospacing="0" w:line="560" w:lineRule="exact"/>
        <w:rPr>
          <w:rFonts w:ascii="仿宋_GB2312" w:hAnsi="微软雅黑" w:eastAsia="仿宋_GB2312"/>
          <w:sz w:val="32"/>
          <w:szCs w:val="32"/>
        </w:rPr>
      </w:pPr>
    </w:p>
    <w:p w14:paraId="2AD1C798">
      <w:pPr>
        <w:pStyle w:val="10"/>
        <w:numPr>
          <w:ilvl w:val="0"/>
          <w:numId w:val="1"/>
        </w:numPr>
        <w:shd w:val="clear" w:color="auto" w:fill="FFFFFF"/>
        <w:spacing w:before="0" w:beforeAutospacing="0" w:after="0" w:afterAutospacing="0" w:line="560" w:lineRule="exact"/>
        <w:ind w:firstLine="640" w:firstLineChars="200"/>
        <w:jc w:val="both"/>
        <w:rPr>
          <w:rFonts w:ascii="楷体" w:hAnsi="楷体" w:eastAsia="楷体"/>
          <w:sz w:val="32"/>
          <w:szCs w:val="32"/>
        </w:rPr>
      </w:pPr>
      <w:r>
        <w:rPr>
          <w:rFonts w:hint="eastAsia" w:ascii="仿宋_GB2312" w:hAnsi="微软雅黑" w:eastAsia="仿宋_GB2312"/>
          <w:sz w:val="32"/>
          <w:szCs w:val="32"/>
        </w:rPr>
        <w:t>数据处理者使用负面清单出境数据，遵循以下主要流程：</w:t>
      </w:r>
    </w:p>
    <w:p w14:paraId="0397EB49">
      <w:pPr>
        <w:pStyle w:val="10"/>
        <w:shd w:val="clear" w:color="auto" w:fill="FFFFFF"/>
        <w:spacing w:before="0" w:beforeAutospacing="0" w:after="0" w:afterAutospacing="0" w:line="560" w:lineRule="exact"/>
        <w:ind w:firstLine="640" w:firstLineChars="200"/>
        <w:jc w:val="both"/>
        <w:rPr>
          <w:rFonts w:ascii="仿宋_GB2312" w:hAnsi="微软雅黑" w:eastAsia="仿宋_GB2312"/>
          <w:i w:val="0"/>
          <w:iCs w:val="0"/>
          <w:color w:val="auto"/>
          <w:sz w:val="32"/>
          <w:szCs w:val="32"/>
          <w:u w:val="none"/>
        </w:rPr>
      </w:pPr>
      <w:r>
        <w:rPr>
          <w:rFonts w:hint="eastAsia" w:ascii="仿宋_GB2312" w:hAnsi="微软雅黑" w:eastAsia="仿宋_GB2312"/>
          <w:i w:val="0"/>
          <w:iCs w:val="0"/>
          <w:color w:val="auto"/>
          <w:sz w:val="32"/>
          <w:szCs w:val="32"/>
          <w:u w:val="none"/>
        </w:rPr>
        <w:t>（一）提交备案申请。数据处理者按照负面</w:t>
      </w:r>
      <w:r>
        <w:rPr>
          <w:rFonts w:ascii="仿宋_GB2312" w:hAnsi="微软雅黑" w:eastAsia="仿宋_GB2312"/>
          <w:i w:val="0"/>
          <w:iCs w:val="0"/>
          <w:color w:val="auto"/>
          <w:sz w:val="32"/>
          <w:szCs w:val="32"/>
          <w:u w:val="none"/>
        </w:rPr>
        <w:t>清单配套</w:t>
      </w:r>
      <w:r>
        <w:rPr>
          <w:rFonts w:hint="eastAsia" w:ascii="仿宋_GB2312" w:hAnsi="微软雅黑" w:eastAsia="仿宋_GB2312"/>
          <w:i w:val="0"/>
          <w:iCs w:val="0"/>
          <w:color w:val="auto"/>
          <w:sz w:val="32"/>
          <w:szCs w:val="32"/>
          <w:u w:val="none"/>
        </w:rPr>
        <w:t>实施指南要求，向</w:t>
      </w:r>
      <w:r>
        <w:rPr>
          <w:rStyle w:val="22"/>
          <w:rFonts w:hint="eastAsia" w:eastAsia="仿宋_GB2312"/>
          <w:i w:val="0"/>
          <w:iCs w:val="0"/>
          <w:color w:val="auto"/>
          <w:sz w:val="32"/>
          <w:szCs w:val="32"/>
          <w:u w:val="none"/>
        </w:rPr>
        <w:t>属地区级管理部门</w:t>
      </w:r>
      <w:r>
        <w:rPr>
          <w:rFonts w:hint="eastAsia" w:ascii="仿宋_GB2312" w:hAnsi="微软雅黑" w:eastAsia="仿宋_GB2312"/>
          <w:i w:val="0"/>
          <w:iCs w:val="0"/>
          <w:color w:val="auto"/>
          <w:sz w:val="32"/>
          <w:szCs w:val="32"/>
          <w:u w:val="none"/>
        </w:rPr>
        <w:t>提交备案申请，申请材料包括使用申请表和承诺书</w:t>
      </w:r>
      <w:r>
        <w:rPr>
          <w:rFonts w:hint="eastAsia" w:ascii="仿宋_GB2312" w:hAnsi="黑体" w:eastAsia="仿宋_GB2312"/>
          <w:i w:val="0"/>
          <w:iCs w:val="0"/>
          <w:color w:val="auto"/>
          <w:sz w:val="32"/>
          <w:szCs w:val="32"/>
          <w:u w:val="none"/>
        </w:rPr>
        <w:t>。</w:t>
      </w:r>
    </w:p>
    <w:p w14:paraId="2014B3C9">
      <w:pPr>
        <w:pStyle w:val="10"/>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（二）开展合规出境。完成备案的数据处理者，应按照</w:t>
      </w:r>
      <w:r>
        <w:rPr>
          <w:rStyle w:val="22"/>
          <w:rFonts w:hint="eastAsia" w:eastAsia="仿宋_GB2312"/>
          <w:sz w:val="32"/>
          <w:szCs w:val="32"/>
        </w:rPr>
        <w:t>区级管理部门</w:t>
      </w:r>
      <w:r>
        <w:rPr>
          <w:rFonts w:hint="eastAsia" w:ascii="仿宋_GB2312" w:hAnsi="微软雅黑" w:eastAsia="仿宋_GB2312"/>
          <w:sz w:val="32"/>
          <w:szCs w:val="32"/>
        </w:rPr>
        <w:t>出具的《负面</w:t>
      </w:r>
      <w:r>
        <w:rPr>
          <w:rFonts w:ascii="仿宋_GB2312" w:hAnsi="微软雅黑" w:eastAsia="仿宋_GB2312"/>
          <w:sz w:val="32"/>
          <w:szCs w:val="32"/>
        </w:rPr>
        <w:t>清单</w:t>
      </w:r>
      <w:r>
        <w:rPr>
          <w:rFonts w:hint="eastAsia" w:ascii="仿宋_GB2312" w:hAnsi="微软雅黑" w:eastAsia="仿宋_GB2312"/>
          <w:sz w:val="32"/>
          <w:szCs w:val="32"/>
        </w:rPr>
        <w:t>备案结果通知书》</w:t>
      </w:r>
      <w:r>
        <w:rPr>
          <w:rFonts w:ascii="仿宋_GB2312" w:hAnsi="微软雅黑" w:eastAsia="仿宋_GB2312"/>
          <w:sz w:val="32"/>
          <w:szCs w:val="32"/>
        </w:rPr>
        <w:t>要求</w:t>
      </w:r>
      <w:r>
        <w:rPr>
          <w:rFonts w:hint="eastAsia" w:ascii="仿宋_GB2312" w:hAnsi="微软雅黑" w:eastAsia="仿宋_GB2312"/>
          <w:sz w:val="32"/>
          <w:szCs w:val="32"/>
        </w:rPr>
        <w:t>开展数据出境活动，配合</w:t>
      </w:r>
      <w:r>
        <w:rPr>
          <w:rFonts w:ascii="仿宋_GB2312" w:hAnsi="微软雅黑" w:eastAsia="仿宋_GB2312"/>
          <w:sz w:val="32"/>
          <w:szCs w:val="32"/>
        </w:rPr>
        <w:t>市级管理部门</w:t>
      </w:r>
      <w:r>
        <w:rPr>
          <w:rFonts w:hint="eastAsia" w:ascii="仿宋_GB2312" w:hAnsi="微软雅黑" w:eastAsia="仿宋_GB2312"/>
          <w:sz w:val="32"/>
          <w:szCs w:val="32"/>
        </w:rPr>
        <w:t>、</w:t>
      </w:r>
      <w:r>
        <w:rPr>
          <w:rStyle w:val="22"/>
          <w:rFonts w:hint="eastAsia" w:eastAsia="仿宋_GB2312"/>
          <w:sz w:val="32"/>
          <w:szCs w:val="32"/>
        </w:rPr>
        <w:t>区级管理部门</w:t>
      </w:r>
      <w:r>
        <w:rPr>
          <w:rFonts w:hint="eastAsia" w:ascii="仿宋_GB2312" w:hAnsi="微软雅黑" w:eastAsia="仿宋_GB2312"/>
          <w:sz w:val="32"/>
          <w:szCs w:val="32"/>
        </w:rPr>
        <w:t>开展监督、核验等工作，</w:t>
      </w:r>
      <w:r>
        <w:rPr>
          <w:rFonts w:ascii="仿宋_GB2312" w:hAnsi="微软雅黑" w:eastAsia="仿宋_GB2312"/>
          <w:sz w:val="32"/>
          <w:szCs w:val="32"/>
        </w:rPr>
        <w:t>备案</w:t>
      </w:r>
      <w:r>
        <w:rPr>
          <w:rFonts w:hint="eastAsia" w:ascii="仿宋_GB2312" w:hAnsi="微软雅黑" w:eastAsia="仿宋_GB2312"/>
          <w:sz w:val="32"/>
          <w:szCs w:val="32"/>
        </w:rPr>
        <w:t>结果</w:t>
      </w:r>
      <w:r>
        <w:rPr>
          <w:rFonts w:ascii="仿宋_GB2312" w:hAnsi="微软雅黑" w:eastAsia="仿宋_GB2312"/>
          <w:sz w:val="32"/>
          <w:szCs w:val="32"/>
        </w:rPr>
        <w:t>有效期为</w:t>
      </w:r>
      <w:r>
        <w:rPr>
          <w:rFonts w:hint="eastAsia" w:ascii="仿宋_GB2312" w:hAnsi="微软雅黑" w:eastAsia="仿宋_GB2312"/>
          <w:sz w:val="32"/>
          <w:szCs w:val="32"/>
        </w:rPr>
        <w:t>三年</w:t>
      </w:r>
      <w:r>
        <w:rPr>
          <w:rFonts w:hint="eastAsia" w:ascii="仿宋_GB2312" w:hAnsi="微软雅黑" w:eastAsia="仿宋_GB2312"/>
          <w:sz w:val="32"/>
          <w:szCs w:val="32"/>
          <w:lang w:eastAsia="zh-CN"/>
        </w:rPr>
        <w:t>。</w:t>
      </w:r>
      <w:r>
        <w:rPr>
          <w:rFonts w:hint="eastAsia" w:ascii="仿宋_GB2312" w:hAnsi="微软雅黑" w:eastAsia="仿宋_GB2312"/>
          <w:sz w:val="32"/>
          <w:szCs w:val="32"/>
        </w:rPr>
        <w:t>数据出境情况发生变化时，及时向</w:t>
      </w:r>
      <w:r>
        <w:rPr>
          <w:rStyle w:val="22"/>
          <w:rFonts w:hint="eastAsia" w:eastAsia="仿宋_GB2312"/>
          <w:sz w:val="32"/>
          <w:szCs w:val="32"/>
        </w:rPr>
        <w:t>区级管理部门</w:t>
      </w:r>
      <w:r>
        <w:rPr>
          <w:rFonts w:hint="eastAsia" w:ascii="仿宋_GB2312" w:hAnsi="微软雅黑" w:eastAsia="仿宋_GB2312"/>
          <w:sz w:val="32"/>
          <w:szCs w:val="32"/>
        </w:rPr>
        <w:t>更新备案。</w:t>
      </w:r>
    </w:p>
    <w:p w14:paraId="1EBCAA53">
      <w:pPr>
        <w:pStyle w:val="10"/>
        <w:numPr>
          <w:ilvl w:val="0"/>
          <w:numId w:val="1"/>
        </w:numPr>
        <w:shd w:val="clear" w:color="auto" w:fill="FFFFFF"/>
        <w:spacing w:before="0" w:beforeAutospacing="0" w:after="0" w:afterAutospacing="0" w:line="560" w:lineRule="exact"/>
        <w:ind w:firstLine="640" w:firstLineChars="200"/>
        <w:jc w:val="both"/>
        <w:rPr>
          <w:rFonts w:ascii="楷体" w:hAnsi="楷体" w:eastAsia="楷体"/>
          <w:sz w:val="32"/>
          <w:szCs w:val="32"/>
        </w:rPr>
      </w:pPr>
      <w:r>
        <w:rPr>
          <w:rStyle w:val="22"/>
          <w:rFonts w:eastAsia="仿宋_GB2312"/>
          <w:sz w:val="32"/>
          <w:szCs w:val="32"/>
        </w:rPr>
        <w:t>各</w:t>
      </w:r>
      <w:r>
        <w:rPr>
          <w:rStyle w:val="22"/>
          <w:rFonts w:hint="eastAsia" w:eastAsia="仿宋_GB2312"/>
          <w:sz w:val="32"/>
          <w:szCs w:val="32"/>
        </w:rPr>
        <w:t>区级管理部门</w:t>
      </w:r>
      <w:r>
        <w:rPr>
          <w:rFonts w:hint="eastAsia" w:ascii="仿宋_GB2312" w:hAnsi="黑体" w:eastAsia="仿宋_GB2312"/>
          <w:sz w:val="32"/>
          <w:szCs w:val="32"/>
        </w:rPr>
        <w:t>重点开展以下工作：</w:t>
      </w:r>
    </w:p>
    <w:p w14:paraId="0FCB37F5">
      <w:pPr>
        <w:pStyle w:val="10"/>
        <w:shd w:val="clear" w:color="auto" w:fill="FFFFFF"/>
        <w:spacing w:before="0" w:beforeAutospacing="0" w:after="0" w:afterAutospacing="0" w:line="560" w:lineRule="exact"/>
        <w:ind w:firstLine="640" w:firstLineChars="200"/>
        <w:jc w:val="both"/>
        <w:rPr>
          <w:rFonts w:ascii="仿宋_GB2312" w:hAnsi="楷体_GB2312" w:eastAsia="仿宋_GB2312" w:cs="楷体_GB2312"/>
          <w:sz w:val="32"/>
          <w:szCs w:val="32"/>
        </w:rPr>
      </w:pPr>
      <w:r>
        <w:rPr>
          <w:rFonts w:hint="eastAsia" w:ascii="仿宋_GB2312" w:hAnsi="微软雅黑" w:eastAsia="仿宋_GB2312"/>
          <w:sz w:val="32"/>
          <w:szCs w:val="32"/>
        </w:rPr>
        <w:t>（一）</w:t>
      </w:r>
      <w:r>
        <w:rPr>
          <w:rStyle w:val="22"/>
          <w:rFonts w:eastAsia="仿宋_GB2312"/>
          <w:sz w:val="32"/>
          <w:szCs w:val="32"/>
        </w:rPr>
        <w:t>各</w:t>
      </w:r>
      <w:r>
        <w:rPr>
          <w:rStyle w:val="22"/>
          <w:rFonts w:hint="eastAsia" w:eastAsia="仿宋_GB2312"/>
          <w:sz w:val="32"/>
          <w:szCs w:val="32"/>
        </w:rPr>
        <w:t>区级管理部门应</w:t>
      </w:r>
      <w:r>
        <w:rPr>
          <w:rFonts w:hint="eastAsia" w:ascii="仿宋_GB2312" w:hAnsi="楷体_GB2312" w:eastAsia="仿宋_GB2312" w:cs="楷体_GB2312"/>
          <w:sz w:val="32"/>
          <w:szCs w:val="32"/>
        </w:rPr>
        <w:t>建立区级专项工作机制，并对外公开发布受理渠道，在收到</w:t>
      </w:r>
      <w:r>
        <w:rPr>
          <w:rFonts w:hint="eastAsia" w:ascii="仿宋_GB2312" w:hAnsi="黑体" w:eastAsia="仿宋_GB2312"/>
          <w:sz w:val="32"/>
          <w:szCs w:val="32"/>
        </w:rPr>
        <w:t>数据处理者提交的备案材料后，于</w:t>
      </w:r>
      <w:r>
        <w:rPr>
          <w:rFonts w:ascii="仿宋_GB2312" w:hAnsi="黑体" w:eastAsia="仿宋_GB2312"/>
          <w:sz w:val="32"/>
          <w:szCs w:val="32"/>
        </w:rPr>
        <w:t>10</w:t>
      </w:r>
      <w:r>
        <w:rPr>
          <w:rFonts w:hint="eastAsia" w:ascii="仿宋_GB2312" w:hAnsi="黑体" w:eastAsia="仿宋_GB2312"/>
          <w:sz w:val="32"/>
          <w:szCs w:val="32"/>
        </w:rPr>
        <w:t>个工作日内</w:t>
      </w:r>
      <w:r>
        <w:rPr>
          <w:rFonts w:hint="eastAsia" w:ascii="仿宋_GB2312" w:hAnsi="楷体_GB2312" w:eastAsia="仿宋_GB2312" w:cs="楷体_GB2312"/>
          <w:sz w:val="32"/>
          <w:szCs w:val="32"/>
        </w:rPr>
        <w:t>组织审核，</w:t>
      </w:r>
      <w:r>
        <w:rPr>
          <w:rFonts w:hint="eastAsia" w:ascii="仿宋_GB2312" w:hAnsi="黑体" w:eastAsia="仿宋_GB2312"/>
          <w:sz w:val="32"/>
          <w:szCs w:val="32"/>
        </w:rPr>
        <w:t>提出出境数据是否适用负面清单的初审意见。初审意见报</w:t>
      </w:r>
      <w:r>
        <w:rPr>
          <w:rFonts w:hint="eastAsia" w:ascii="仿宋_GB2312" w:hAnsi="微软雅黑" w:eastAsia="仿宋_GB2312"/>
          <w:sz w:val="32"/>
          <w:szCs w:val="32"/>
        </w:rPr>
        <w:t>市级管理部门</w:t>
      </w:r>
      <w:r>
        <w:rPr>
          <w:rFonts w:hint="eastAsia" w:ascii="仿宋_GB2312" w:hAnsi="黑体" w:eastAsia="仿宋_GB2312"/>
          <w:sz w:val="32"/>
          <w:szCs w:val="32"/>
        </w:rPr>
        <w:t>确认后，向数据处理者反馈备案审核结果。出境数据在负面清单内的，指导数据处理者申报数据出境安全评估、订立个人信息出境标准合同、通过个人信息保护认证；出境数据在负面清单外的，明确告知数据处理者可安全有序自由流动；出境数据</w:t>
      </w:r>
      <w:r>
        <w:rPr>
          <w:rFonts w:ascii="仿宋_GB2312" w:hAnsi="黑体" w:eastAsia="仿宋_GB2312"/>
          <w:sz w:val="32"/>
          <w:szCs w:val="32"/>
        </w:rPr>
        <w:t>不适用负面清单的，按照现行法律法规执行</w:t>
      </w:r>
      <w:r>
        <w:rPr>
          <w:rFonts w:hint="eastAsia" w:ascii="仿宋_GB2312" w:hAnsi="黑体" w:eastAsia="仿宋_GB2312"/>
          <w:sz w:val="32"/>
          <w:szCs w:val="32"/>
        </w:rPr>
        <w:t>。</w:t>
      </w:r>
    </w:p>
    <w:p w14:paraId="29A3D253">
      <w:pPr>
        <w:pStyle w:val="10"/>
        <w:shd w:val="clear" w:color="auto" w:fill="FFFFFF"/>
        <w:spacing w:before="0" w:beforeAutospacing="0" w:after="0" w:afterAutospacing="0" w:line="560" w:lineRule="exact"/>
        <w:ind w:firstLine="640" w:firstLineChars="200"/>
        <w:jc w:val="both"/>
        <w:rPr>
          <w:rFonts w:ascii="仿宋_GB2312" w:hAnsi="黑体" w:eastAsia="仿宋_GB2312"/>
          <w:sz w:val="32"/>
          <w:szCs w:val="32"/>
        </w:rPr>
      </w:pPr>
      <w:r>
        <w:rPr>
          <w:rFonts w:ascii="仿宋_GB2312" w:hAnsi="黑体" w:eastAsia="仿宋_GB2312"/>
          <w:sz w:val="32"/>
          <w:szCs w:val="32"/>
        </w:rPr>
        <w:t>（</w:t>
      </w:r>
      <w:r>
        <w:rPr>
          <w:rFonts w:hint="eastAsia" w:ascii="仿宋_GB2312" w:hAnsi="黑体" w:eastAsia="仿宋_GB2312"/>
          <w:sz w:val="32"/>
          <w:szCs w:val="32"/>
        </w:rPr>
        <w:t>二</w:t>
      </w:r>
      <w:r>
        <w:rPr>
          <w:rFonts w:ascii="仿宋_GB2312" w:hAnsi="黑体" w:eastAsia="仿宋_GB2312"/>
          <w:sz w:val="32"/>
          <w:szCs w:val="32"/>
        </w:rPr>
        <w:t>）</w:t>
      </w:r>
      <w:r>
        <w:rPr>
          <w:rStyle w:val="22"/>
          <w:rFonts w:eastAsia="仿宋_GB2312"/>
          <w:sz w:val="32"/>
          <w:szCs w:val="32"/>
        </w:rPr>
        <w:t>各</w:t>
      </w:r>
      <w:r>
        <w:rPr>
          <w:rStyle w:val="22"/>
          <w:rFonts w:hint="eastAsia" w:eastAsia="仿宋_GB2312"/>
          <w:sz w:val="32"/>
          <w:szCs w:val="32"/>
        </w:rPr>
        <w:t>区级管理部门</w:t>
      </w:r>
      <w:r>
        <w:rPr>
          <w:rFonts w:hint="eastAsia" w:ascii="仿宋_GB2312" w:hAnsi="微软雅黑" w:eastAsia="仿宋_GB2312"/>
          <w:sz w:val="32"/>
          <w:szCs w:val="32"/>
        </w:rPr>
        <w:t>应与使用负面清单的数据处理者建立对接服务机制，</w:t>
      </w:r>
      <w:r>
        <w:rPr>
          <w:rFonts w:ascii="仿宋_GB2312" w:hAnsi="黑体" w:eastAsia="仿宋_GB2312"/>
          <w:sz w:val="32"/>
          <w:szCs w:val="32"/>
        </w:rPr>
        <w:t>动态搜集掌握</w:t>
      </w:r>
      <w:r>
        <w:rPr>
          <w:rFonts w:hint="eastAsia" w:ascii="仿宋_GB2312" w:hAnsi="微软雅黑" w:eastAsia="仿宋_GB2312"/>
          <w:sz w:val="32"/>
          <w:szCs w:val="32"/>
        </w:rPr>
        <w:t>数据处理者</w:t>
      </w:r>
      <w:r>
        <w:rPr>
          <w:rFonts w:ascii="仿宋_GB2312" w:hAnsi="黑体" w:eastAsia="仿宋_GB2312"/>
          <w:sz w:val="32"/>
          <w:szCs w:val="32"/>
        </w:rPr>
        <w:t>数据出境诉求，</w:t>
      </w:r>
      <w:r>
        <w:rPr>
          <w:rFonts w:hint="eastAsia" w:ascii="仿宋_GB2312" w:hAnsi="黑体" w:eastAsia="仿宋_GB2312"/>
          <w:sz w:val="32"/>
          <w:szCs w:val="32"/>
        </w:rPr>
        <w:t>听</w:t>
      </w:r>
      <w:r>
        <w:rPr>
          <w:rFonts w:ascii="仿宋_GB2312" w:hAnsi="黑体" w:eastAsia="仿宋_GB2312"/>
          <w:sz w:val="32"/>
          <w:szCs w:val="32"/>
        </w:rPr>
        <w:t>取对负面清单</w:t>
      </w:r>
      <w:r>
        <w:rPr>
          <w:rFonts w:hint="eastAsia" w:ascii="仿宋_GB2312" w:hAnsi="黑体" w:eastAsia="仿宋_GB2312"/>
          <w:sz w:val="32"/>
          <w:szCs w:val="32"/>
        </w:rPr>
        <w:t>使用的</w:t>
      </w:r>
      <w:r>
        <w:rPr>
          <w:rFonts w:ascii="仿宋_GB2312" w:hAnsi="黑体" w:eastAsia="仿宋_GB2312"/>
          <w:sz w:val="32"/>
          <w:szCs w:val="32"/>
        </w:rPr>
        <w:t>意见建议，结合</w:t>
      </w:r>
      <w:r>
        <w:rPr>
          <w:rFonts w:hint="eastAsia" w:ascii="仿宋_GB2312" w:hAnsi="微软雅黑" w:eastAsia="仿宋_GB2312"/>
          <w:sz w:val="32"/>
          <w:szCs w:val="32"/>
        </w:rPr>
        <w:t>数据跨境流动总体态势情况</w:t>
      </w:r>
      <w:r>
        <w:rPr>
          <w:rFonts w:ascii="仿宋_GB2312" w:hAnsi="黑体" w:eastAsia="仿宋_GB2312"/>
          <w:sz w:val="32"/>
          <w:szCs w:val="32"/>
        </w:rPr>
        <w:t>，</w:t>
      </w:r>
      <w:r>
        <w:rPr>
          <w:rFonts w:hint="eastAsia" w:ascii="仿宋_GB2312" w:hAnsi="仿宋_GB2312" w:eastAsia="仿宋_GB2312" w:cs="仿宋_GB2312"/>
          <w:sz w:val="32"/>
          <w:szCs w:val="32"/>
        </w:rPr>
        <w:t>不断</w:t>
      </w:r>
      <w:r>
        <w:rPr>
          <w:rFonts w:ascii="仿宋_GB2312" w:hAnsi="仿宋_GB2312" w:eastAsia="仿宋_GB2312" w:cs="仿宋_GB2312"/>
          <w:sz w:val="32"/>
          <w:szCs w:val="32"/>
        </w:rPr>
        <w:t>优化和改进本区域内数据出境便</w:t>
      </w:r>
      <w:r>
        <w:rPr>
          <w:rFonts w:hint="eastAsia" w:ascii="仿宋_GB2312" w:hAnsi="仿宋_GB2312" w:eastAsia="仿宋_GB2312" w:cs="仿宋_GB2312"/>
          <w:sz w:val="32"/>
          <w:szCs w:val="32"/>
        </w:rPr>
        <w:t>利</w:t>
      </w:r>
      <w:r>
        <w:rPr>
          <w:rFonts w:ascii="仿宋_GB2312" w:hAnsi="仿宋_GB2312" w:eastAsia="仿宋_GB2312" w:cs="仿宋_GB2312"/>
          <w:sz w:val="32"/>
          <w:szCs w:val="32"/>
        </w:rPr>
        <w:t>化服务</w:t>
      </w:r>
      <w:r>
        <w:rPr>
          <w:rFonts w:hint="eastAsia" w:ascii="仿宋_GB2312" w:hAnsi="仿宋_GB2312" w:eastAsia="仿宋_GB2312" w:cs="仿宋_GB2312"/>
          <w:sz w:val="32"/>
          <w:szCs w:val="32"/>
        </w:rPr>
        <w:t>举措</w:t>
      </w:r>
      <w:r>
        <w:rPr>
          <w:rFonts w:ascii="仿宋_GB2312" w:hAnsi="仿宋_GB2312" w:eastAsia="仿宋_GB2312" w:cs="仿宋_GB2312"/>
          <w:sz w:val="32"/>
          <w:szCs w:val="32"/>
        </w:rPr>
        <w:t>。</w:t>
      </w:r>
    </w:p>
    <w:p w14:paraId="100A6050">
      <w:pPr>
        <w:pStyle w:val="10"/>
        <w:numPr>
          <w:ilvl w:val="0"/>
          <w:numId w:val="1"/>
        </w:numPr>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市级管理部门重点开展以下工作：</w:t>
      </w:r>
    </w:p>
    <w:p w14:paraId="55D7A1A5">
      <w:pPr>
        <w:pStyle w:val="10"/>
        <w:numPr>
          <w:ilvl w:val="255"/>
          <w:numId w:val="0"/>
        </w:numPr>
        <w:shd w:val="clear" w:color="auto" w:fill="FFFFFF"/>
        <w:tabs>
          <w:tab w:val="left" w:pos="10577"/>
        </w:tabs>
        <w:spacing w:before="0" w:beforeAutospacing="0" w:after="0" w:afterAutospacing="0"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rPr>
        <w:t>市级管理部门</w:t>
      </w:r>
      <w:r>
        <w:rPr>
          <w:rFonts w:hint="eastAsia" w:ascii="仿宋_GB2312" w:hAnsi="仿宋_GB2312" w:eastAsia="仿宋_GB2312" w:cs="仿宋_GB2312"/>
          <w:sz w:val="32"/>
          <w:szCs w:val="32"/>
        </w:rPr>
        <w:t>建立专项工作机制，组织对区级管理部门提出的初审意见及数据处理者提交的申请材料，进行数据出境负面清单适用性和风险研判联评联审。各参审单位于</w:t>
      </w:r>
      <w:r>
        <w:rPr>
          <w:rFonts w:hint="eastAsia" w:ascii="仿宋_GB2312" w:hAnsi="黑体" w:eastAsia="仿宋_GB2312"/>
          <w:sz w:val="32"/>
          <w:szCs w:val="32"/>
        </w:rPr>
        <w:t>10</w:t>
      </w:r>
      <w:r>
        <w:rPr>
          <w:rFonts w:hint="eastAsia" w:ascii="仿宋_GB2312" w:hAnsi="仿宋_GB2312" w:eastAsia="仿宋_GB2312" w:cs="仿宋_GB2312"/>
          <w:sz w:val="32"/>
          <w:szCs w:val="32"/>
        </w:rPr>
        <w:t>个工作日内向北京市互联网信息办公室反馈审核意见。对于情况复杂的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可</w:t>
      </w:r>
      <w:r>
        <w:rPr>
          <w:rFonts w:ascii="仿宋_GB2312" w:hAnsi="仿宋_GB2312" w:eastAsia="仿宋_GB2312" w:cs="仿宋_GB2312"/>
          <w:sz w:val="32"/>
          <w:szCs w:val="32"/>
        </w:rPr>
        <w:t>联合</w:t>
      </w:r>
      <w:r>
        <w:rPr>
          <w:rFonts w:hint="eastAsia" w:ascii="仿宋_GB2312" w:hAnsi="仿宋_GB2312" w:eastAsia="仿宋_GB2312" w:cs="仿宋_GB2312"/>
          <w:sz w:val="32"/>
          <w:szCs w:val="32"/>
        </w:rPr>
        <w:t>相关行业主管部门进行</w:t>
      </w:r>
      <w:r>
        <w:rPr>
          <w:rFonts w:ascii="仿宋_GB2312" w:hAnsi="仿宋_GB2312" w:eastAsia="仿宋_GB2312" w:cs="仿宋_GB2312"/>
          <w:sz w:val="32"/>
          <w:szCs w:val="32"/>
        </w:rPr>
        <w:t>审核</w:t>
      </w:r>
      <w:r>
        <w:rPr>
          <w:rFonts w:hint="eastAsia" w:ascii="仿宋_GB2312" w:hAnsi="仿宋_GB2312" w:eastAsia="仿宋_GB2312" w:cs="仿宋_GB2312"/>
          <w:sz w:val="32"/>
          <w:szCs w:val="32"/>
        </w:rPr>
        <w:t>。必要时，专项工作机制可召开专题会商会或专家论证会，形成审核意见。</w:t>
      </w:r>
    </w:p>
    <w:p w14:paraId="14C429B5">
      <w:pPr>
        <w:pStyle w:val="10"/>
        <w:numPr>
          <w:ilvl w:val="255"/>
          <w:numId w:val="0"/>
        </w:numPr>
        <w:shd w:val="clear" w:color="auto" w:fill="FFFFFF"/>
        <w:tabs>
          <w:tab w:val="left" w:pos="10577"/>
        </w:tabs>
        <w:spacing w:before="0" w:beforeAutospacing="0" w:after="0" w:afterAutospacing="0" w:line="560" w:lineRule="exact"/>
        <w:ind w:firstLine="640" w:firstLineChars="200"/>
        <w:jc w:val="both"/>
        <w:rPr>
          <w:rFonts w:ascii="仿宋_GB2312" w:hAnsi="仿宋_GB2312" w:eastAsia="仿宋_GB2312" w:cs="仿宋_GB2312"/>
          <w:sz w:val="32"/>
          <w:szCs w:val="32"/>
        </w:rPr>
      </w:pPr>
    </w:p>
    <w:p w14:paraId="44F5108C">
      <w:pPr>
        <w:pStyle w:val="10"/>
        <w:shd w:val="clear" w:color="auto" w:fill="FFFFFF"/>
        <w:spacing w:before="0" w:beforeAutospacing="0" w:after="0" w:afterAutospacing="0" w:line="560" w:lineRule="exact"/>
        <w:jc w:val="center"/>
        <w:outlineLvl w:val="1"/>
        <w:rPr>
          <w:rFonts w:ascii="黑体" w:hAnsi="黑体" w:eastAsia="黑体"/>
          <w:sz w:val="32"/>
          <w:szCs w:val="32"/>
        </w:rPr>
      </w:pPr>
      <w:bookmarkStart w:id="9" w:name="_Toc1091855113"/>
      <w:r>
        <w:rPr>
          <w:rFonts w:ascii="黑体" w:hAnsi="黑体" w:eastAsia="黑体"/>
          <w:sz w:val="32"/>
          <w:szCs w:val="32"/>
        </w:rPr>
        <w:t>第</w:t>
      </w:r>
      <w:r>
        <w:rPr>
          <w:rFonts w:hint="eastAsia" w:ascii="黑体" w:hAnsi="黑体" w:eastAsia="黑体"/>
          <w:sz w:val="32"/>
          <w:szCs w:val="32"/>
        </w:rPr>
        <w:t>五</w:t>
      </w:r>
      <w:r>
        <w:rPr>
          <w:rFonts w:ascii="黑体" w:hAnsi="黑体" w:eastAsia="黑体"/>
          <w:sz w:val="32"/>
          <w:szCs w:val="32"/>
        </w:rPr>
        <w:t xml:space="preserve">章 </w:t>
      </w:r>
      <w:r>
        <w:rPr>
          <w:rFonts w:hint="eastAsia" w:ascii="黑体" w:hAnsi="黑体" w:eastAsia="黑体"/>
          <w:sz w:val="32"/>
          <w:szCs w:val="32"/>
        </w:rPr>
        <w:t>监督管理</w:t>
      </w:r>
      <w:bookmarkEnd w:id="9"/>
    </w:p>
    <w:p w14:paraId="3FF41207">
      <w:pPr>
        <w:pStyle w:val="10"/>
        <w:shd w:val="clear" w:color="auto" w:fill="FFFFFF"/>
        <w:spacing w:before="0" w:beforeAutospacing="0" w:after="0" w:afterAutospacing="0" w:line="560" w:lineRule="exact"/>
        <w:rPr>
          <w:rFonts w:ascii="仿宋_GB2312" w:hAnsi="微软雅黑" w:eastAsia="仿宋_GB2312"/>
          <w:sz w:val="32"/>
          <w:szCs w:val="32"/>
        </w:rPr>
      </w:pPr>
    </w:p>
    <w:p w14:paraId="64C76E8F">
      <w:pPr>
        <w:pStyle w:val="10"/>
        <w:numPr>
          <w:ilvl w:val="0"/>
          <w:numId w:val="1"/>
        </w:numPr>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楷体_GB2312" w:eastAsia="仿宋_GB2312" w:cs="楷体_GB2312"/>
          <w:sz w:val="32"/>
          <w:szCs w:val="32"/>
        </w:rPr>
        <w:t>市、区</w:t>
      </w:r>
      <w:r>
        <w:rPr>
          <w:rFonts w:ascii="仿宋_GB2312" w:hAnsi="楷体_GB2312" w:eastAsia="仿宋_GB2312" w:cs="楷体_GB2312"/>
          <w:sz w:val="32"/>
          <w:szCs w:val="32"/>
        </w:rPr>
        <w:t>两级网信</w:t>
      </w:r>
      <w:r>
        <w:rPr>
          <w:rFonts w:hint="eastAsia" w:ascii="仿宋_GB2312" w:hAnsi="楷体_GB2312" w:eastAsia="仿宋_GB2312" w:cs="楷体_GB2312"/>
          <w:sz w:val="32"/>
          <w:szCs w:val="32"/>
        </w:rPr>
        <w:t>和数据</w:t>
      </w:r>
      <w:r>
        <w:rPr>
          <w:rFonts w:ascii="仿宋_GB2312" w:hAnsi="楷体_GB2312" w:eastAsia="仿宋_GB2312" w:cs="楷体_GB2312"/>
          <w:sz w:val="32"/>
          <w:szCs w:val="32"/>
        </w:rPr>
        <w:t>部门</w:t>
      </w:r>
      <w:r>
        <w:rPr>
          <w:rFonts w:hint="eastAsia" w:ascii="仿宋_GB2312" w:hAnsi="微软雅黑" w:eastAsia="仿宋_GB2312"/>
          <w:sz w:val="32"/>
          <w:szCs w:val="32"/>
        </w:rPr>
        <w:t>应严格落实国家及行业数据安全管理要求，</w:t>
      </w:r>
      <w:r>
        <w:rPr>
          <w:rFonts w:hint="eastAsia" w:ascii="仿宋_GB2312" w:hAnsi="楷体_GB2312" w:eastAsia="仿宋_GB2312" w:cs="楷体_GB2312"/>
          <w:sz w:val="32"/>
          <w:szCs w:val="32"/>
        </w:rPr>
        <w:t>依法依规</w:t>
      </w:r>
      <w:r>
        <w:rPr>
          <w:rFonts w:hint="eastAsia" w:ascii="仿宋_GB2312" w:hAnsi="微软雅黑" w:eastAsia="仿宋_GB2312"/>
          <w:sz w:val="32"/>
          <w:szCs w:val="32"/>
        </w:rPr>
        <w:t>加强对数据处理者数据出境活动的指导监督，建立数据出境活动风险研判、安全事件发现通报机制，统筹开展安全风险监测</w:t>
      </w:r>
      <w:r>
        <w:rPr>
          <w:rFonts w:ascii="仿宋_GB2312" w:hAnsi="微软雅黑" w:eastAsia="仿宋_GB2312"/>
          <w:sz w:val="32"/>
          <w:szCs w:val="32"/>
        </w:rPr>
        <w:t>预警</w:t>
      </w:r>
      <w:r>
        <w:rPr>
          <w:rFonts w:hint="eastAsia" w:ascii="仿宋_GB2312" w:hAnsi="微软雅黑" w:eastAsia="仿宋_GB2312"/>
          <w:sz w:val="32"/>
          <w:szCs w:val="32"/>
        </w:rPr>
        <w:t>能力</w:t>
      </w:r>
      <w:r>
        <w:rPr>
          <w:rFonts w:ascii="仿宋_GB2312" w:hAnsi="微软雅黑" w:eastAsia="仿宋_GB2312"/>
          <w:sz w:val="32"/>
          <w:szCs w:val="32"/>
        </w:rPr>
        <w:t>建设，</w:t>
      </w:r>
      <w:r>
        <w:rPr>
          <w:rFonts w:hint="eastAsia" w:ascii="仿宋_GB2312" w:hAnsi="微软雅黑" w:eastAsia="仿宋_GB2312"/>
          <w:sz w:val="32"/>
          <w:szCs w:val="32"/>
        </w:rPr>
        <w:t>强化负面清单使用过程中的事前事中事后全</w:t>
      </w:r>
      <w:r>
        <w:rPr>
          <w:rFonts w:ascii="仿宋_GB2312" w:hAnsi="微软雅黑" w:eastAsia="仿宋_GB2312"/>
          <w:sz w:val="32"/>
          <w:szCs w:val="32"/>
        </w:rPr>
        <w:t>链条全领域综合监管。</w:t>
      </w:r>
    </w:p>
    <w:p w14:paraId="00AA41D8">
      <w:pPr>
        <w:pStyle w:val="10"/>
        <w:numPr>
          <w:ilvl w:val="0"/>
          <w:numId w:val="1"/>
        </w:numPr>
        <w:shd w:val="clear" w:color="auto" w:fill="FFFFFF"/>
        <w:spacing w:before="0" w:beforeAutospacing="0" w:after="0" w:afterAutospacing="0" w:line="540" w:lineRule="exact"/>
        <w:ind w:firstLine="640" w:firstLineChars="200"/>
        <w:jc w:val="both"/>
        <w:rPr>
          <w:rFonts w:ascii="仿宋_GB2312" w:hAnsi="微软雅黑" w:eastAsia="仿宋_GB2312"/>
          <w:sz w:val="32"/>
          <w:szCs w:val="32"/>
        </w:rPr>
      </w:pPr>
      <w:r>
        <w:rPr>
          <w:rStyle w:val="22"/>
          <w:rFonts w:eastAsia="仿宋_GB2312"/>
          <w:sz w:val="32"/>
          <w:szCs w:val="32"/>
        </w:rPr>
        <w:t>各</w:t>
      </w:r>
      <w:r>
        <w:rPr>
          <w:rStyle w:val="22"/>
          <w:rFonts w:hint="eastAsia" w:eastAsia="仿宋_GB2312"/>
          <w:sz w:val="32"/>
          <w:szCs w:val="32"/>
        </w:rPr>
        <w:t>区级管理部门</w:t>
      </w:r>
      <w:r>
        <w:rPr>
          <w:rFonts w:hint="eastAsia" w:ascii="仿宋_GB2312" w:hAnsi="微软雅黑" w:eastAsia="仿宋_GB2312"/>
          <w:sz w:val="32"/>
          <w:szCs w:val="32"/>
          <w:u w:val="none"/>
        </w:rPr>
        <w:t>应</w:t>
      </w:r>
      <w:r>
        <w:rPr>
          <w:rFonts w:hint="eastAsia" w:ascii="仿宋_GB2312" w:hAnsi="微软雅黑" w:eastAsia="仿宋_GB2312"/>
          <w:sz w:val="32"/>
          <w:szCs w:val="32"/>
          <w:u w:val="none"/>
          <w:lang w:val="en-US" w:eastAsia="zh-CN"/>
        </w:rPr>
        <w:t>在负面清单备案有效期内</w:t>
      </w:r>
      <w:r>
        <w:rPr>
          <w:rFonts w:hint="eastAsia" w:ascii="仿宋_GB2312" w:hAnsi="微软雅黑" w:eastAsia="仿宋_GB2312"/>
          <w:sz w:val="32"/>
          <w:szCs w:val="32"/>
        </w:rPr>
        <w:t>就数据实际出境情况与备案材料进行一致性抽验，对于数据处理者在数据出境活动中未严格履行相关承诺，或出现瞒报、虚报、故意造成实际出境数据与备案数据不一致等违规行为的，</w:t>
      </w:r>
      <w:r>
        <w:rPr>
          <w:rStyle w:val="22"/>
          <w:rFonts w:eastAsia="仿宋_GB2312"/>
          <w:sz w:val="32"/>
          <w:szCs w:val="32"/>
        </w:rPr>
        <w:t>各</w:t>
      </w:r>
      <w:r>
        <w:rPr>
          <w:rStyle w:val="22"/>
          <w:rFonts w:hint="eastAsia" w:eastAsia="仿宋_GB2312"/>
          <w:sz w:val="32"/>
          <w:szCs w:val="32"/>
        </w:rPr>
        <w:t>区级管理部门应</w:t>
      </w:r>
      <w:r>
        <w:rPr>
          <w:rStyle w:val="22"/>
          <w:rFonts w:eastAsia="仿宋_GB2312"/>
          <w:strike w:val="0"/>
          <w:dstrike w:val="0"/>
          <w:sz w:val="32"/>
          <w:szCs w:val="32"/>
        </w:rPr>
        <w:t>依法依规</w:t>
      </w:r>
      <w:r>
        <w:rPr>
          <w:rStyle w:val="22"/>
          <w:rFonts w:eastAsia="仿宋_GB2312"/>
          <w:sz w:val="32"/>
          <w:szCs w:val="32"/>
        </w:rPr>
        <w:t>及时处理，</w:t>
      </w:r>
      <w:r>
        <w:rPr>
          <w:rStyle w:val="22"/>
          <w:rFonts w:hint="eastAsia" w:eastAsia="仿宋_GB2312"/>
          <w:sz w:val="32"/>
          <w:szCs w:val="32"/>
        </w:rPr>
        <w:t>视情节</w:t>
      </w:r>
      <w:r>
        <w:rPr>
          <w:rFonts w:hint="eastAsia" w:ascii="仿宋_GB2312" w:hAnsi="微软雅黑" w:eastAsia="仿宋_GB2312"/>
          <w:sz w:val="32"/>
          <w:szCs w:val="32"/>
        </w:rPr>
        <w:t>责令其暂停数据出境活动，要求限期整改，整改完成后重新履行负面清单申请、备案程序；情节</w:t>
      </w:r>
      <w:r>
        <w:rPr>
          <w:rFonts w:ascii="仿宋_GB2312" w:hAnsi="微软雅黑" w:eastAsia="仿宋_GB2312"/>
          <w:sz w:val="32"/>
          <w:szCs w:val="32"/>
        </w:rPr>
        <w:t>严重的，终止其数据出境活动，</w:t>
      </w:r>
      <w:r>
        <w:rPr>
          <w:rFonts w:hint="eastAsia" w:ascii="仿宋_GB2312" w:hAnsi="微软雅黑" w:eastAsia="仿宋_GB2312"/>
          <w:sz w:val="32"/>
          <w:szCs w:val="32"/>
        </w:rPr>
        <w:t>对其采取重点监管措施，并及时向</w:t>
      </w:r>
      <w:r>
        <w:rPr>
          <w:rFonts w:ascii="仿宋_GB2312" w:hAnsi="微软雅黑" w:eastAsia="仿宋_GB2312"/>
          <w:sz w:val="32"/>
          <w:szCs w:val="32"/>
        </w:rPr>
        <w:t>市级</w:t>
      </w:r>
      <w:r>
        <w:rPr>
          <w:rFonts w:hint="eastAsia" w:ascii="仿宋_GB2312" w:hAnsi="微软雅黑" w:eastAsia="仿宋_GB2312"/>
          <w:sz w:val="32"/>
          <w:szCs w:val="32"/>
        </w:rPr>
        <w:t>管理</w:t>
      </w:r>
      <w:r>
        <w:rPr>
          <w:rFonts w:ascii="仿宋_GB2312" w:hAnsi="微软雅黑" w:eastAsia="仿宋_GB2312"/>
          <w:sz w:val="32"/>
          <w:szCs w:val="32"/>
        </w:rPr>
        <w:t>部门</w:t>
      </w:r>
      <w:r>
        <w:rPr>
          <w:rFonts w:hint="eastAsia" w:ascii="仿宋_GB2312" w:hAnsi="微软雅黑" w:eastAsia="仿宋_GB2312"/>
          <w:sz w:val="32"/>
          <w:szCs w:val="32"/>
        </w:rPr>
        <w:t>上报有关情况。</w:t>
      </w:r>
    </w:p>
    <w:p w14:paraId="407117C9">
      <w:pPr>
        <w:pStyle w:val="10"/>
        <w:numPr>
          <w:ilvl w:val="0"/>
          <w:numId w:val="1"/>
        </w:numPr>
        <w:shd w:val="clear" w:color="auto" w:fill="FFFFFF"/>
        <w:spacing w:before="0" w:beforeAutospacing="0" w:after="0" w:afterAutospacing="0" w:line="540" w:lineRule="exact"/>
        <w:ind w:firstLine="640" w:firstLineChars="200"/>
        <w:jc w:val="both"/>
        <w:rPr>
          <w:rFonts w:ascii="仿宋_GB2312" w:hAnsi="微软雅黑" w:eastAsia="仿宋_GB2312"/>
          <w:sz w:val="32"/>
          <w:szCs w:val="32"/>
        </w:rPr>
      </w:pPr>
      <w:r>
        <w:rPr>
          <w:rFonts w:ascii="仿宋_GB2312" w:hAnsi="微软雅黑" w:eastAsia="仿宋_GB2312"/>
          <w:sz w:val="32"/>
          <w:szCs w:val="32"/>
        </w:rPr>
        <w:t>市级管理部门</w:t>
      </w:r>
      <w:r>
        <w:rPr>
          <w:rFonts w:hint="eastAsia" w:ascii="仿宋_GB2312" w:hAnsi="微软雅黑" w:eastAsia="仿宋_GB2312"/>
          <w:sz w:val="32"/>
          <w:szCs w:val="32"/>
        </w:rPr>
        <w:t>联合行业主管部门定期对</w:t>
      </w:r>
      <w:r>
        <w:rPr>
          <w:rStyle w:val="22"/>
          <w:rFonts w:hint="eastAsia" w:eastAsia="仿宋_GB2312"/>
          <w:sz w:val="32"/>
          <w:szCs w:val="32"/>
        </w:rPr>
        <w:t>各区级管理部门</w:t>
      </w:r>
      <w:r>
        <w:rPr>
          <w:rFonts w:hint="eastAsia" w:ascii="仿宋_GB2312" w:hAnsi="微软雅黑" w:eastAsia="仿宋_GB2312"/>
          <w:sz w:val="32"/>
          <w:szCs w:val="32"/>
        </w:rPr>
        <w:t>、数据处理者落实本办法要求情况进行指导</w:t>
      </w:r>
      <w:r>
        <w:rPr>
          <w:rFonts w:hint="eastAsia" w:ascii="仿宋_GB2312" w:hAnsi="微软雅黑" w:eastAsia="仿宋_GB2312"/>
          <w:sz w:val="32"/>
          <w:szCs w:val="32"/>
          <w:lang w:val="en-US" w:eastAsia="zh-CN"/>
        </w:rPr>
        <w:t>评估</w:t>
      </w:r>
      <w:r>
        <w:rPr>
          <w:rFonts w:hint="eastAsia" w:ascii="仿宋_GB2312" w:hAnsi="微软雅黑" w:eastAsia="仿宋_GB2312"/>
          <w:sz w:val="32"/>
          <w:szCs w:val="32"/>
          <w:lang w:eastAsia="zh-CN"/>
        </w:rPr>
        <w:t>，建立负面清单数据安全风险评估机制，定期开展成效评估与风险防控工作，并将评估结果作为优化清单管理的重要依据</w:t>
      </w:r>
      <w:r>
        <w:rPr>
          <w:rFonts w:hint="eastAsia" w:ascii="仿宋_GB2312" w:hAnsi="微软雅黑" w:eastAsia="仿宋_GB2312"/>
          <w:sz w:val="32"/>
          <w:szCs w:val="32"/>
        </w:rPr>
        <w:t>。发现数据处理活动存在较大安全风险的，应当立即采取补救措施，消除隐患</w:t>
      </w:r>
      <w:r>
        <w:rPr>
          <w:rFonts w:hint="eastAsia" w:ascii="仿宋_GB2312" w:hAnsi="黑体" w:eastAsia="仿宋_GB2312"/>
          <w:sz w:val="32"/>
          <w:szCs w:val="32"/>
        </w:rPr>
        <w:t>，对影响或可能影响国家安全的出境数据，及时更新纳入负面清单</w:t>
      </w:r>
      <w:r>
        <w:rPr>
          <w:rFonts w:hint="eastAsia" w:ascii="仿宋_GB2312" w:hAnsi="微软雅黑" w:eastAsia="仿宋_GB2312"/>
          <w:sz w:val="32"/>
          <w:szCs w:val="32"/>
        </w:rPr>
        <w:t>。</w:t>
      </w:r>
    </w:p>
    <w:p w14:paraId="6DD3058E">
      <w:pPr>
        <w:pStyle w:val="10"/>
        <w:numPr>
          <w:ilvl w:val="0"/>
          <w:numId w:val="1"/>
        </w:numPr>
        <w:shd w:val="clear" w:color="auto" w:fill="FFFFFF"/>
        <w:spacing w:before="0" w:beforeAutospacing="0" w:after="0" w:afterAutospacing="0" w:line="54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市、</w:t>
      </w:r>
      <w:r>
        <w:rPr>
          <w:rFonts w:ascii="仿宋_GB2312" w:hAnsi="微软雅黑" w:eastAsia="仿宋_GB2312"/>
          <w:sz w:val="32"/>
          <w:szCs w:val="32"/>
        </w:rPr>
        <w:t>区</w:t>
      </w:r>
      <w:r>
        <w:rPr>
          <w:rFonts w:hint="eastAsia" w:ascii="仿宋_GB2312" w:hAnsi="微软雅黑" w:eastAsia="仿宋_GB2312"/>
          <w:sz w:val="32"/>
          <w:szCs w:val="32"/>
        </w:rPr>
        <w:t>两级</w:t>
      </w:r>
      <w:r>
        <w:rPr>
          <w:rFonts w:ascii="仿宋_GB2312" w:hAnsi="微软雅黑" w:eastAsia="仿宋_GB2312"/>
          <w:sz w:val="32"/>
          <w:szCs w:val="32"/>
        </w:rPr>
        <w:t>管理部门</w:t>
      </w:r>
      <w:r>
        <w:rPr>
          <w:rFonts w:hint="eastAsia" w:ascii="仿宋_GB2312" w:hAnsi="微软雅黑" w:eastAsia="仿宋_GB2312"/>
          <w:sz w:val="32"/>
          <w:szCs w:val="32"/>
        </w:rPr>
        <w:t>可采取“信用+风险”</w:t>
      </w:r>
      <w:r>
        <w:rPr>
          <w:rFonts w:ascii="仿宋_GB2312" w:hAnsi="微软雅黑" w:eastAsia="仿宋_GB2312"/>
          <w:sz w:val="32"/>
          <w:szCs w:val="32"/>
        </w:rPr>
        <w:t>分级</w:t>
      </w:r>
      <w:r>
        <w:rPr>
          <w:rFonts w:hint="eastAsia" w:ascii="仿宋_GB2312" w:hAnsi="微软雅黑" w:eastAsia="仿宋_GB2312"/>
          <w:sz w:val="32"/>
          <w:szCs w:val="32"/>
        </w:rPr>
        <w:t>分类</w:t>
      </w:r>
      <w:r>
        <w:rPr>
          <w:rFonts w:ascii="仿宋_GB2312" w:hAnsi="微软雅黑" w:eastAsia="仿宋_GB2312"/>
          <w:sz w:val="32"/>
          <w:szCs w:val="32"/>
        </w:rPr>
        <w:t>监管</w:t>
      </w:r>
      <w:r>
        <w:rPr>
          <w:rFonts w:hint="eastAsia" w:ascii="仿宋_GB2312" w:hAnsi="微软雅黑" w:eastAsia="仿宋_GB2312"/>
          <w:sz w:val="32"/>
          <w:szCs w:val="32"/>
        </w:rPr>
        <w:t>方式</w:t>
      </w:r>
      <w:r>
        <w:rPr>
          <w:rFonts w:ascii="仿宋_GB2312" w:hAnsi="微软雅黑" w:eastAsia="仿宋_GB2312"/>
          <w:sz w:val="32"/>
          <w:szCs w:val="32"/>
        </w:rPr>
        <w:t>，</w:t>
      </w:r>
      <w:r>
        <w:rPr>
          <w:rFonts w:ascii="仿宋_GB2312" w:hAnsi="黑体" w:eastAsia="仿宋_GB2312"/>
          <w:sz w:val="32"/>
          <w:szCs w:val="32"/>
        </w:rPr>
        <w:t>对</w:t>
      </w:r>
      <w:r>
        <w:rPr>
          <w:rFonts w:hint="eastAsia" w:ascii="仿宋_GB2312" w:hAnsi="黑体" w:eastAsia="仿宋_GB2312"/>
          <w:sz w:val="32"/>
          <w:szCs w:val="32"/>
        </w:rPr>
        <w:t>数据安全</w:t>
      </w:r>
      <w:r>
        <w:rPr>
          <w:rFonts w:ascii="仿宋_GB2312" w:hAnsi="黑体" w:eastAsia="仿宋_GB2312"/>
          <w:sz w:val="32"/>
          <w:szCs w:val="32"/>
        </w:rPr>
        <w:t>保障</w:t>
      </w:r>
      <w:r>
        <w:rPr>
          <w:rFonts w:hint="eastAsia" w:ascii="仿宋_GB2312" w:hAnsi="黑体" w:eastAsia="仿宋_GB2312"/>
          <w:sz w:val="32"/>
          <w:szCs w:val="32"/>
        </w:rPr>
        <w:t>能力较强、信用较好、出境</w:t>
      </w:r>
      <w:r>
        <w:rPr>
          <w:rFonts w:ascii="仿宋_GB2312" w:hAnsi="黑体" w:eastAsia="仿宋_GB2312"/>
          <w:sz w:val="32"/>
          <w:szCs w:val="32"/>
        </w:rPr>
        <w:t>数据</w:t>
      </w:r>
      <w:r>
        <w:rPr>
          <w:rFonts w:hint="eastAsia" w:ascii="仿宋_GB2312" w:hAnsi="黑体" w:eastAsia="仿宋_GB2312"/>
          <w:sz w:val="32"/>
          <w:szCs w:val="32"/>
        </w:rPr>
        <w:t>风险较低的数据处理者，合理</w:t>
      </w:r>
      <w:r>
        <w:rPr>
          <w:rFonts w:ascii="仿宋_GB2312" w:hAnsi="黑体" w:eastAsia="仿宋_GB2312"/>
          <w:sz w:val="32"/>
          <w:szCs w:val="32"/>
        </w:rPr>
        <w:t>降低</w:t>
      </w:r>
      <w:r>
        <w:rPr>
          <w:rFonts w:hint="eastAsia" w:ascii="仿宋_GB2312" w:hAnsi="黑体" w:eastAsia="仿宋_GB2312"/>
          <w:sz w:val="32"/>
          <w:szCs w:val="32"/>
        </w:rPr>
        <w:t>监督</w:t>
      </w:r>
      <w:r>
        <w:rPr>
          <w:rFonts w:ascii="仿宋_GB2312" w:hAnsi="黑体" w:eastAsia="仿宋_GB2312"/>
          <w:sz w:val="32"/>
          <w:szCs w:val="32"/>
        </w:rPr>
        <w:t>检查</w:t>
      </w:r>
      <w:r>
        <w:rPr>
          <w:rFonts w:hint="eastAsia" w:ascii="仿宋_GB2312" w:hAnsi="黑体" w:eastAsia="仿宋_GB2312"/>
          <w:sz w:val="32"/>
          <w:szCs w:val="32"/>
        </w:rPr>
        <w:t>频次，完善守信激励</w:t>
      </w:r>
      <w:r>
        <w:rPr>
          <w:rFonts w:ascii="仿宋_GB2312" w:hAnsi="黑体" w:eastAsia="仿宋_GB2312"/>
          <w:sz w:val="32"/>
          <w:szCs w:val="32"/>
        </w:rPr>
        <w:t>措施</w:t>
      </w:r>
      <w:r>
        <w:rPr>
          <w:rFonts w:hint="eastAsia" w:ascii="仿宋_GB2312" w:hAnsi="黑体" w:eastAsia="仿宋_GB2312"/>
          <w:sz w:val="32"/>
          <w:szCs w:val="32"/>
        </w:rPr>
        <w:t>。</w:t>
      </w:r>
    </w:p>
    <w:p w14:paraId="6E75759E">
      <w:pPr>
        <w:pStyle w:val="10"/>
        <w:numPr>
          <w:ilvl w:val="0"/>
          <w:numId w:val="1"/>
        </w:numPr>
        <w:shd w:val="clear" w:color="auto" w:fill="FFFFFF"/>
        <w:spacing w:before="0" w:beforeAutospacing="0" w:after="0" w:afterAutospacing="0" w:line="540" w:lineRule="exact"/>
        <w:ind w:firstLine="640" w:firstLineChars="200"/>
        <w:jc w:val="both"/>
        <w:rPr>
          <w:rFonts w:ascii="仿宋_GB2312" w:hAnsi="微软雅黑" w:eastAsia="仿宋_GB2312"/>
          <w:sz w:val="32"/>
          <w:szCs w:val="32"/>
          <w:u w:val="none"/>
        </w:rPr>
      </w:pPr>
      <w:r>
        <w:rPr>
          <w:rFonts w:hint="eastAsia" w:ascii="仿宋_GB2312" w:hAnsi="微软雅黑" w:eastAsia="仿宋_GB2312"/>
          <w:sz w:val="32"/>
          <w:szCs w:val="32"/>
        </w:rPr>
        <w:t>数据处理者违反本办法和国家数据出境安全管理有关规定，存在违规出境数据行为的，由有关主管部门依照《中华人民共和国网络安全法》《中华人民共和国数据安全法》《中华人民共和国个人信息保护法》《网络数据安全管理条例》等法律法规依法追究其法律责任。</w:t>
      </w:r>
    </w:p>
    <w:p w14:paraId="6E42BB80">
      <w:pPr>
        <w:pStyle w:val="10"/>
        <w:shd w:val="clear" w:color="auto" w:fill="FFFFFF"/>
        <w:spacing w:before="0" w:beforeAutospacing="0" w:after="0" w:afterAutospacing="0" w:line="540" w:lineRule="exact"/>
        <w:rPr>
          <w:rFonts w:ascii="仿宋_GB2312" w:hAnsi="微软雅黑" w:eastAsia="仿宋_GB2312"/>
          <w:sz w:val="32"/>
          <w:szCs w:val="32"/>
        </w:rPr>
      </w:pPr>
    </w:p>
    <w:p w14:paraId="77E5750A">
      <w:pPr>
        <w:pStyle w:val="10"/>
        <w:shd w:val="clear" w:color="auto" w:fill="FFFFFF"/>
        <w:spacing w:before="0" w:beforeAutospacing="0" w:after="0" w:afterAutospacing="0" w:line="560" w:lineRule="exact"/>
        <w:jc w:val="center"/>
        <w:outlineLvl w:val="1"/>
        <w:rPr>
          <w:rFonts w:ascii="黑体" w:hAnsi="黑体" w:eastAsia="黑体"/>
          <w:sz w:val="32"/>
          <w:szCs w:val="32"/>
        </w:rPr>
      </w:pPr>
      <w:bookmarkStart w:id="10" w:name="_Toc1885965039"/>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章 附 则</w:t>
      </w:r>
      <w:bookmarkEnd w:id="10"/>
    </w:p>
    <w:p w14:paraId="5E1FC67F">
      <w:pPr>
        <w:pStyle w:val="10"/>
        <w:shd w:val="clear" w:color="auto" w:fill="FFFFFF"/>
        <w:spacing w:before="0" w:beforeAutospacing="0" w:after="0" w:afterAutospacing="0" w:line="540" w:lineRule="exact"/>
        <w:rPr>
          <w:rFonts w:ascii="仿宋_GB2312" w:hAnsi="微软雅黑" w:eastAsia="仿宋_GB2312"/>
          <w:sz w:val="32"/>
          <w:szCs w:val="32"/>
        </w:rPr>
      </w:pPr>
    </w:p>
    <w:p w14:paraId="54286441">
      <w:pPr>
        <w:pStyle w:val="10"/>
        <w:numPr>
          <w:ilvl w:val="0"/>
          <w:numId w:val="1"/>
        </w:numPr>
        <w:shd w:val="clear" w:color="auto" w:fill="FFFFFF"/>
        <w:spacing w:before="0" w:beforeAutospacing="0" w:after="0" w:afterAutospacing="0" w:line="540" w:lineRule="exact"/>
        <w:ind w:firstLine="640" w:firstLineChars="200"/>
        <w:jc w:val="both"/>
        <w:rPr>
          <w:rFonts w:ascii="仿宋_GB2312" w:hAnsi="微软雅黑" w:eastAsia="仿宋_GB2312"/>
          <w:sz w:val="32"/>
          <w:szCs w:val="32"/>
        </w:rPr>
      </w:pPr>
      <w:r>
        <w:rPr>
          <w:rFonts w:hint="eastAsia" w:ascii="仿宋_GB2312" w:eastAsia="仿宋_GB2312"/>
          <w:sz w:val="32"/>
          <w:szCs w:val="32"/>
        </w:rPr>
        <w:t>关系国家安全、国民经济命脉、重要民生、重大公共利益等数据属于国家核心数据，实行更加严格的管理制度，</w:t>
      </w:r>
      <w:r>
        <w:rPr>
          <w:rFonts w:hint="eastAsia" w:ascii="仿宋_GB2312" w:hAnsi="微软雅黑" w:eastAsia="仿宋_GB2312"/>
          <w:sz w:val="32"/>
          <w:szCs w:val="32"/>
        </w:rPr>
        <w:t>不纳入负面清单管理。</w:t>
      </w:r>
    </w:p>
    <w:p w14:paraId="6B187612">
      <w:pPr>
        <w:pStyle w:val="10"/>
        <w:numPr>
          <w:ilvl w:val="0"/>
          <w:numId w:val="1"/>
        </w:numPr>
        <w:shd w:val="clear" w:color="auto" w:fill="FFFFFF"/>
        <w:spacing w:before="0" w:beforeAutospacing="0" w:after="0" w:afterAutospacing="0" w:line="54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本办法由北京市互联网信息办公室会同北京市政务服务和数据管理局、北京市商务局</w:t>
      </w:r>
      <w:r>
        <w:rPr>
          <w:rFonts w:hint="eastAsia" w:ascii="仿宋_GB2312" w:hAnsi="微软雅黑" w:eastAsia="仿宋_GB2312"/>
          <w:sz w:val="32"/>
          <w:szCs w:val="32"/>
          <w:u w:val="none"/>
          <w:lang w:eastAsia="zh-CN"/>
        </w:rPr>
        <w:t>、</w:t>
      </w:r>
      <w:r>
        <w:rPr>
          <w:rFonts w:hint="eastAsia" w:ascii="仿宋_GB2312" w:hAnsi="微软雅黑" w:eastAsia="仿宋_GB2312"/>
          <w:sz w:val="32"/>
          <w:szCs w:val="32"/>
          <w:u w:val="none"/>
        </w:rPr>
        <w:t>北京市公安局、北京市国家安全局</w:t>
      </w:r>
      <w:r>
        <w:rPr>
          <w:rFonts w:hint="eastAsia" w:ascii="仿宋_GB2312" w:hAnsi="微软雅黑" w:eastAsia="仿宋_GB2312"/>
          <w:sz w:val="32"/>
          <w:szCs w:val="32"/>
        </w:rPr>
        <w:t>负责解释。</w:t>
      </w:r>
    </w:p>
    <w:p w14:paraId="18AA55C3">
      <w:pPr>
        <w:pStyle w:val="10"/>
        <w:numPr>
          <w:ilvl w:val="0"/>
          <w:numId w:val="1"/>
        </w:numPr>
        <w:shd w:val="clear" w:color="auto" w:fill="FFFFFF"/>
        <w:spacing w:before="0" w:beforeAutospacing="0" w:after="0" w:afterAutospacing="0" w:line="54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本办法未涉及的行业、领域的数据分类分级参考规则，按照有关规定和标准执行。</w:t>
      </w:r>
    </w:p>
    <w:p w14:paraId="5FB48070">
      <w:pPr>
        <w:pStyle w:val="10"/>
        <w:numPr>
          <w:ilvl w:val="0"/>
          <w:numId w:val="1"/>
        </w:numPr>
        <w:shd w:val="clear" w:color="auto" w:fill="FFFFFF"/>
        <w:spacing w:before="0" w:beforeAutospacing="0" w:after="0" w:afterAutospacing="0" w:line="54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出境数据属负面清单外的行业、领域，按《数据出境安全评估办法》《个人信息出境标准合同办法》《</w:t>
      </w:r>
      <w:r>
        <w:rPr>
          <w:rFonts w:ascii="仿宋_GB2312" w:hAnsi="微软雅黑" w:eastAsia="仿宋_GB2312"/>
          <w:sz w:val="32"/>
          <w:szCs w:val="32"/>
        </w:rPr>
        <w:t>促进和</w:t>
      </w:r>
      <w:r>
        <w:rPr>
          <w:rFonts w:hint="eastAsia" w:ascii="仿宋_GB2312" w:hAnsi="微软雅黑" w:eastAsia="仿宋_GB2312"/>
          <w:sz w:val="32"/>
          <w:szCs w:val="32"/>
        </w:rPr>
        <w:t>规范</w:t>
      </w:r>
      <w:r>
        <w:rPr>
          <w:rFonts w:ascii="仿宋_GB2312" w:hAnsi="微软雅黑" w:eastAsia="仿宋_GB2312"/>
          <w:sz w:val="32"/>
          <w:szCs w:val="32"/>
        </w:rPr>
        <w:t>数据</w:t>
      </w:r>
      <w:r>
        <w:rPr>
          <w:rFonts w:hint="eastAsia" w:ascii="仿宋_GB2312" w:hAnsi="微软雅黑" w:eastAsia="仿宋_GB2312"/>
          <w:sz w:val="32"/>
          <w:szCs w:val="32"/>
        </w:rPr>
        <w:t>跨境</w:t>
      </w:r>
      <w:r>
        <w:rPr>
          <w:rFonts w:ascii="仿宋_GB2312" w:hAnsi="微软雅黑" w:eastAsia="仿宋_GB2312"/>
          <w:sz w:val="32"/>
          <w:szCs w:val="32"/>
        </w:rPr>
        <w:t>流动规定</w:t>
      </w:r>
      <w:r>
        <w:rPr>
          <w:rFonts w:hint="eastAsia" w:ascii="仿宋_GB2312" w:hAnsi="微软雅黑" w:eastAsia="仿宋_GB2312"/>
          <w:sz w:val="32"/>
          <w:szCs w:val="32"/>
        </w:rPr>
        <w:t>》等国家相关规定执行。</w:t>
      </w:r>
    </w:p>
    <w:p w14:paraId="5BB97DEC">
      <w:pPr>
        <w:pStyle w:val="10"/>
        <w:numPr>
          <w:ilvl w:val="0"/>
          <w:numId w:val="1"/>
        </w:numPr>
        <w:shd w:val="clear" w:color="auto" w:fill="FFFFFF"/>
        <w:spacing w:before="0" w:beforeAutospacing="0" w:after="0" w:afterAutospacing="0" w:line="54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u w:val="none"/>
        </w:rPr>
        <w:t>负面清单涉及的行业、领域中，如涉及《中华人民共和国出口管制法》规定的管制物项相关技术资料或《中华人民共和国对外贸易法》规定的技术出口管理事项等数据出境的，按照《中华人民共和国出口管制法》《中华人民共和国对外贸易法》等法律法规、规章规定执行</w:t>
      </w:r>
      <w:r>
        <w:rPr>
          <w:rFonts w:hint="eastAsia" w:ascii="仿宋_GB2312" w:hAnsi="微软雅黑" w:eastAsia="仿宋_GB2312"/>
          <w:sz w:val="32"/>
          <w:szCs w:val="32"/>
          <w:u w:val="none"/>
          <w:lang w:eastAsia="zh-CN"/>
        </w:rPr>
        <w:t>。</w:t>
      </w:r>
    </w:p>
    <w:p w14:paraId="4DFFF82A">
      <w:pPr>
        <w:pStyle w:val="10"/>
        <w:numPr>
          <w:ilvl w:val="0"/>
          <w:numId w:val="1"/>
        </w:numPr>
        <w:shd w:val="clear" w:color="auto" w:fill="FFFFFF"/>
        <w:spacing w:before="0" w:beforeAutospacing="0" w:after="0" w:afterAutospacing="0" w:line="54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本办法自发布之日起施行，原《中国（北京）自由贸易试验区数据出境负面清单管理办法（试行）》同步废止。  本办法施行前，已依据《中国（北京）自由贸易试验区数据出境负面清单管理办法（试行）》取得相关组团出具备案结果通知书的，视为已满足北京市“两区”数据出境负面清单备案管理要求，其备案结果继续有效</w:t>
      </w:r>
      <w:r>
        <w:rPr>
          <w:rFonts w:hint="eastAsia" w:ascii="仿宋_GB2312" w:hAnsi="黑体" w:eastAsia="仿宋_GB2312"/>
          <w:color w:val="000000" w:themeColor="text1"/>
          <w:sz w:val="32"/>
          <w:szCs w:val="32"/>
          <w14:textFill>
            <w14:solidFill>
              <w14:schemeClr w14:val="tx1"/>
            </w14:solidFill>
          </w14:textFill>
        </w:rPr>
        <w:t>。</w:t>
      </w:r>
    </w:p>
    <w:p w14:paraId="5B03589A">
      <w:pPr>
        <w:pStyle w:val="10"/>
        <w:shd w:val="clear" w:color="auto" w:fill="FFFFFF"/>
        <w:tabs>
          <w:tab w:val="left" w:pos="10577"/>
        </w:tabs>
        <w:spacing w:before="0" w:beforeAutospacing="0" w:after="0" w:afterAutospacing="0" w:line="540" w:lineRule="exact"/>
        <w:jc w:val="both"/>
        <w:rPr>
          <w:rFonts w:ascii="仿宋_GB2312" w:hAnsi="微软雅黑" w:eastAsia="仿宋_GB2312"/>
          <w:sz w:val="32"/>
          <w:szCs w:val="32"/>
        </w:rPr>
      </w:pPr>
    </w:p>
    <w:p w14:paraId="0D67285F">
      <w:pPr>
        <w:keepNext w:val="0"/>
        <w:keepLines w:val="0"/>
        <w:pageBreakBefore w:val="0"/>
        <w:widowControl w:val="0"/>
        <w:kinsoku/>
        <w:wordWrap/>
        <w:overflowPunct/>
        <w:topLinePunct w:val="0"/>
        <w:autoSpaceDE/>
        <w:autoSpaceDN/>
        <w:bidi w:val="0"/>
        <w:adjustRightInd/>
        <w:snapToGrid/>
        <w:ind w:left="912" w:hanging="912" w:hangingChars="300"/>
        <w:textAlignment w:val="auto"/>
        <w:rPr>
          <w:rFonts w:hint="eastAsia" w:ascii="仿宋_GB2312" w:hAnsi="微软雅黑" w:eastAsia="仿宋_GB2312"/>
          <w:w w:val="95"/>
          <w:sz w:val="32"/>
          <w:szCs w:val="32"/>
        </w:rPr>
      </w:pPr>
      <w:r>
        <w:rPr>
          <w:rFonts w:hint="eastAsia" w:ascii="仿宋_GB2312" w:hAnsi="微软雅黑" w:eastAsia="仿宋_GB2312"/>
          <w:w w:val="95"/>
          <w:sz w:val="32"/>
          <w:szCs w:val="32"/>
        </w:rPr>
        <w:t>附件：</w:t>
      </w:r>
      <w:r>
        <w:rPr>
          <w:rFonts w:hint="eastAsia" w:ascii="仿宋_GB2312" w:hAnsi="仿宋_GB2312" w:eastAsia="仿宋_GB2312" w:cs="仿宋_GB2312"/>
          <w:sz w:val="32"/>
          <w:szCs w:val="32"/>
        </w:rPr>
        <w:t>中国（北京）自由贸易试验区、国家服务业扩大开放综合示范区</w:t>
      </w:r>
      <w:r>
        <w:rPr>
          <w:rFonts w:hint="eastAsia" w:ascii="仿宋_GB2312" w:hAnsi="微软雅黑" w:eastAsia="仿宋_GB2312"/>
          <w:w w:val="95"/>
          <w:sz w:val="32"/>
          <w:szCs w:val="32"/>
        </w:rPr>
        <w:t>数据分类分级参考规则</w:t>
      </w:r>
    </w:p>
    <w:p w14:paraId="0E681ABD">
      <w:pPr>
        <w:ind w:left="1236" w:leftChars="436" w:hanging="320" w:hangingChars="100"/>
        <w:rPr>
          <w:rFonts w:hint="default" w:ascii="仿宋_GB2312" w:hAnsi="仿宋_GB2312" w:eastAsia="仿宋_GB2312" w:cs="仿宋_GB2312"/>
          <w:sz w:val="32"/>
          <w:szCs w:val="32"/>
          <w:lang w:val="en-US" w:eastAsia="zh-CN"/>
        </w:rPr>
      </w:pPr>
    </w:p>
    <w:p w14:paraId="5FC1F8A9">
      <w:pPr>
        <w:ind w:left="1216" w:hanging="1280" w:hangingChars="400"/>
        <w:rPr>
          <w:rFonts w:hint="eastAsia" w:ascii="仿宋_GB2312" w:hAnsi="微软雅黑" w:eastAsia="仿宋_GB2312"/>
          <w:sz w:val="32"/>
          <w:szCs w:val="32"/>
        </w:rPr>
        <w:sectPr>
          <w:footerReference r:id="rId3" w:type="default"/>
          <w:footerReference r:id="rId4" w:type="even"/>
          <w:pgSz w:w="11906" w:h="16838"/>
          <w:pgMar w:top="2098" w:right="1474" w:bottom="1984" w:left="1588" w:header="851" w:footer="992" w:gutter="0"/>
          <w:pgNumType w:fmt="decimal" w:start="1"/>
          <w:cols w:space="425" w:num="1"/>
          <w:docGrid w:type="lines" w:linePitch="312" w:charSpace="0"/>
        </w:sectPr>
      </w:pPr>
      <w:r>
        <w:rPr>
          <w:rFonts w:hint="eastAsia" w:ascii="仿宋_GB2312" w:hAnsi="微软雅黑" w:eastAsia="仿宋_GB2312"/>
          <w:sz w:val="32"/>
          <w:szCs w:val="32"/>
        </w:rPr>
        <w:br w:type="page"/>
      </w:r>
    </w:p>
    <w:p w14:paraId="29ED80D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p>
    <w:p w14:paraId="28F8AE7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3AC64A1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ascii="方正小标宋简体" w:hAnsi="方正小标宋简体" w:eastAsia="方正小标宋简体" w:cs="方正小标宋简体"/>
          <w:sz w:val="44"/>
          <w:szCs w:val="44"/>
        </w:rPr>
      </w:pPr>
      <w:bookmarkStart w:id="11" w:name="_Toc1556634635"/>
      <w:r>
        <w:rPr>
          <w:rFonts w:hint="eastAsia" w:ascii="方正小标宋简体" w:hAnsi="方正小标宋简体" w:eastAsia="方正小标宋简体" w:cs="方正小标宋简体"/>
          <w:sz w:val="44"/>
          <w:szCs w:val="44"/>
        </w:rPr>
        <w:t>中国（北京）自由贸易试验区、国家服务业扩大开放综合示范区</w:t>
      </w:r>
      <w:bookmarkEnd w:id="11"/>
    </w:p>
    <w:p w14:paraId="0200980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sz w:val="44"/>
          <w:szCs w:val="44"/>
        </w:rPr>
      </w:pPr>
      <w:bookmarkStart w:id="12" w:name="_Toc283525847"/>
      <w:r>
        <w:rPr>
          <w:rFonts w:hint="eastAsia" w:ascii="方正小标宋简体" w:hAnsi="方正小标宋简体" w:eastAsia="方正小标宋简体" w:cs="方正小标宋简体"/>
          <w:sz w:val="44"/>
          <w:szCs w:val="44"/>
        </w:rPr>
        <w:t>数据分类分级参考规则</w:t>
      </w:r>
      <w:bookmarkEnd w:id="12"/>
    </w:p>
    <w:p w14:paraId="7E055E8A">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tbl>
      <w:tblPr>
        <w:tblStyle w:val="11"/>
        <w:tblW w:w="13608" w:type="dxa"/>
        <w:jc w:val="center"/>
        <w:tblLayout w:type="fixed"/>
        <w:tblCellMar>
          <w:top w:w="0" w:type="dxa"/>
          <w:left w:w="108" w:type="dxa"/>
          <w:bottom w:w="0" w:type="dxa"/>
          <w:right w:w="108" w:type="dxa"/>
        </w:tblCellMar>
      </w:tblPr>
      <w:tblGrid>
        <w:gridCol w:w="1595"/>
        <w:gridCol w:w="1661"/>
        <w:gridCol w:w="4961"/>
        <w:gridCol w:w="5391"/>
      </w:tblGrid>
      <w:tr w14:paraId="1FA32EA9">
        <w:tblPrEx>
          <w:tblCellMar>
            <w:top w:w="0" w:type="dxa"/>
            <w:left w:w="108" w:type="dxa"/>
            <w:bottom w:w="0" w:type="dxa"/>
            <w:right w:w="108" w:type="dxa"/>
          </w:tblCellMar>
        </w:tblPrEx>
        <w:trPr>
          <w:trHeight w:val="2490" w:hRule="atLeast"/>
          <w:jc w:val="center"/>
        </w:trPr>
        <w:tc>
          <w:tcPr>
            <w:tcW w:w="13608" w:type="dxa"/>
            <w:gridSpan w:val="4"/>
            <w:tcBorders>
              <w:top w:val="single" w:color="000000" w:sz="4" w:space="0"/>
              <w:left w:val="single" w:color="000000" w:sz="4" w:space="0"/>
              <w:bottom w:val="single" w:color="000000" w:sz="4" w:space="0"/>
              <w:right w:val="single" w:color="000000" w:sz="4" w:space="0"/>
            </w:tcBorders>
            <w:vAlign w:val="center"/>
          </w:tcPr>
          <w:p w14:paraId="18355FF9">
            <w:pPr>
              <w:rPr>
                <w:rStyle w:val="23"/>
                <w:rFonts w:hint="default" w:ascii="仿宋_GB2312" w:hAnsi="仿宋_GB2312" w:eastAsia="仿宋_GB2312" w:cs="仿宋_GB2312"/>
                <w:color w:val="000000" w:themeColor="text1"/>
                <w:sz w:val="24"/>
                <w:szCs w:val="24"/>
                <w:u w:val="none"/>
                <w14:textFill>
                  <w14:solidFill>
                    <w14:schemeClr w14:val="tx1"/>
                  </w14:solidFill>
                </w14:textFill>
              </w:rPr>
            </w:pPr>
            <w:r>
              <w:rPr>
                <w:rFonts w:hint="eastAsia" w:ascii="仿宋_GB2312" w:hAnsi="仿宋_GB2312" w:eastAsia="仿宋_GB2312" w:cs="仿宋_GB2312"/>
                <w:b/>
                <w:bCs/>
                <w:color w:val="000000" w:themeColor="text1"/>
                <w:kern w:val="0"/>
                <w:sz w:val="24"/>
                <w:u w:val="none"/>
                <w14:textFill>
                  <w14:solidFill>
                    <w14:schemeClr w14:val="tx1"/>
                  </w14:solidFill>
                </w14:textFill>
              </w:rPr>
              <w:t>重要数据统一识别参考规则</w:t>
            </w:r>
            <w:r>
              <w:rPr>
                <w:rStyle w:val="23"/>
                <w:rFonts w:hint="default" w:ascii="仿宋_GB2312" w:hAnsi="仿宋_GB2312" w:eastAsia="仿宋_GB2312" w:cs="仿宋_GB2312"/>
                <w:color w:val="000000" w:themeColor="text1"/>
                <w:sz w:val="24"/>
                <w:szCs w:val="24"/>
                <w:u w:val="none"/>
                <w14:textFill>
                  <w14:solidFill>
                    <w14:schemeClr w14:val="tx1"/>
                  </w14:solidFill>
                </w14:textFill>
              </w:rPr>
              <w:t>：</w:t>
            </w:r>
          </w:p>
          <w:p w14:paraId="074D6C2C">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1.本参考规则适用于非涉密数据，涉密数据按相关规定执行。</w:t>
            </w:r>
          </w:p>
          <w:p w14:paraId="0FA7E709">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2.北京市“两区”企业掌握的1000万人以上个人信息（不含敏感个人信息）；100万人以上敏感个人信息；10万人以上且包含个人银行账户、个人保险账户、个人注册账户、个人诊疗数据等的个人敏感信息。</w:t>
            </w:r>
          </w:p>
          <w:p w14:paraId="362B261A">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3.被国家认定为关键信息基础设施的运营者掌握的10万人以上个人信息。</w:t>
            </w:r>
          </w:p>
          <w:p w14:paraId="50C1DCE0">
            <w:pPr>
              <w:rPr>
                <w:rFonts w:ascii="仿宋_GB2312" w:hAnsi="微软雅黑" w:eastAsia="仿宋_GB2312"/>
                <w:color w:val="000000" w:themeColor="text1"/>
                <w:sz w:val="22"/>
                <w:szCs w:val="22"/>
                <w:u w:val="none"/>
                <w14:textFill>
                  <w14:solidFill>
                    <w14:schemeClr w14:val="tx1"/>
                  </w14:solidFill>
                </w14:textFill>
              </w:rPr>
            </w:pPr>
            <w:r>
              <w:rPr>
                <w:rFonts w:ascii="仿宋_GB2312" w:hAnsi="微软雅黑" w:eastAsia="仿宋_GB2312"/>
                <w:color w:val="000000" w:themeColor="text1"/>
                <w:sz w:val="22"/>
                <w:szCs w:val="22"/>
                <w:u w:val="none"/>
                <w14:textFill>
                  <w14:solidFill>
                    <w14:schemeClr w14:val="tx1"/>
                  </w14:solidFill>
                </w14:textFill>
              </w:rPr>
              <w:t>4.</w:t>
            </w:r>
            <w:r>
              <w:rPr>
                <w:rFonts w:hint="eastAsia" w:ascii="仿宋_GB2312" w:hAnsi="微软雅黑" w:eastAsia="仿宋_GB2312"/>
                <w:color w:val="000000" w:themeColor="text1"/>
                <w:sz w:val="22"/>
                <w:szCs w:val="22"/>
                <w:u w:val="none"/>
                <w14:textFill>
                  <w14:solidFill>
                    <w14:schemeClr w14:val="tx1"/>
                  </w14:solidFill>
                </w14:textFill>
              </w:rPr>
              <w:t>北京市“两区”企业在研发设计过程、生产制造过程、经营管理过程中收集和产生的与行业竞争力、行业生产安全相关的高价值敏感数据；涉及国家安全的企业供应链相关数据。</w:t>
            </w:r>
          </w:p>
          <w:p w14:paraId="0ABB29DA">
            <w:pPr>
              <w:rPr>
                <w:rStyle w:val="23"/>
                <w:rFonts w:hint="default" w:ascii="仿宋_GB2312" w:hAnsi="仿宋_GB2312" w:eastAsia="仿宋_GB2312" w:cs="仿宋_GB2312"/>
                <w:color w:val="000000" w:themeColor="text1"/>
                <w:u w:val="none"/>
                <w14:textFill>
                  <w14:solidFill>
                    <w14:schemeClr w14:val="tx1"/>
                  </w14:solidFill>
                </w14:textFill>
              </w:rPr>
            </w:pPr>
            <w:r>
              <w:rPr>
                <w:rFonts w:ascii="仿宋_GB2312" w:hAnsi="微软雅黑" w:eastAsia="仿宋_GB2312"/>
                <w:color w:val="000000" w:themeColor="text1"/>
                <w:sz w:val="22"/>
                <w:szCs w:val="22"/>
                <w:u w:val="none"/>
                <w14:textFill>
                  <w14:solidFill>
                    <w14:schemeClr w14:val="tx1"/>
                  </w14:solidFill>
                </w14:textFill>
              </w:rPr>
              <w:t>5</w:t>
            </w:r>
            <w:r>
              <w:rPr>
                <w:rFonts w:hint="eastAsia" w:ascii="仿宋_GB2312" w:hAnsi="微软雅黑" w:eastAsia="仿宋_GB2312"/>
                <w:color w:val="000000" w:themeColor="text1"/>
                <w:sz w:val="22"/>
                <w:szCs w:val="22"/>
                <w:u w:val="none"/>
                <w14:textFill>
                  <w14:solidFill>
                    <w14:schemeClr w14:val="tx1"/>
                  </w14:solidFill>
                </w14:textFill>
              </w:rPr>
              <w:t>.北京市“两区”企业掌握的关系国计民生领域的自动控制系统参数以及控制、运行维护、测试数据。</w:t>
            </w:r>
          </w:p>
        </w:tc>
      </w:tr>
      <w:tr w14:paraId="7FFC82E4">
        <w:tblPrEx>
          <w:tblCellMar>
            <w:top w:w="0" w:type="dxa"/>
            <w:left w:w="108" w:type="dxa"/>
            <w:bottom w:w="0" w:type="dxa"/>
            <w:right w:w="108" w:type="dxa"/>
          </w:tblCellMar>
        </w:tblPrEx>
        <w:trPr>
          <w:trHeight w:val="415" w:hRule="atLeast"/>
          <w:jc w:val="center"/>
        </w:trPr>
        <w:tc>
          <w:tcPr>
            <w:tcW w:w="1595" w:type="dxa"/>
            <w:tcBorders>
              <w:top w:val="single" w:color="000000" w:sz="4" w:space="0"/>
              <w:left w:val="single" w:color="000000" w:sz="4" w:space="0"/>
              <w:bottom w:val="single" w:color="000000" w:sz="4" w:space="0"/>
              <w:right w:val="single" w:color="000000" w:sz="4" w:space="0"/>
            </w:tcBorders>
            <w:vAlign w:val="center"/>
          </w:tcPr>
          <w:p w14:paraId="47C69403">
            <w:pPr>
              <w:jc w:val="center"/>
              <w:rPr>
                <w:rFonts w:ascii="仿宋_GB2312" w:hAnsi="微软雅黑" w:eastAsia="仿宋_GB2312"/>
                <w:b/>
                <w:color w:val="000000" w:themeColor="text1"/>
                <w:sz w:val="24"/>
                <w:u w:val="none"/>
                <w14:textFill>
                  <w14:solidFill>
                    <w14:schemeClr w14:val="tx1"/>
                  </w14:solidFill>
                </w14:textFill>
              </w:rPr>
            </w:pPr>
            <w:r>
              <w:rPr>
                <w:rFonts w:hint="eastAsia" w:ascii="仿宋_GB2312" w:hAnsi="微软雅黑" w:eastAsia="仿宋_GB2312"/>
                <w:b/>
                <w:color w:val="000000" w:themeColor="text1"/>
                <w:sz w:val="24"/>
                <w:u w:val="none"/>
                <w14:textFill>
                  <w14:solidFill>
                    <w14:schemeClr w14:val="tx1"/>
                  </w14:solidFill>
                </w14:textFill>
              </w:rPr>
              <w:t>一级类别</w:t>
            </w:r>
          </w:p>
        </w:tc>
        <w:tc>
          <w:tcPr>
            <w:tcW w:w="1661" w:type="dxa"/>
            <w:tcBorders>
              <w:top w:val="single" w:color="000000" w:sz="4" w:space="0"/>
              <w:left w:val="single" w:color="000000" w:sz="4" w:space="0"/>
              <w:bottom w:val="single" w:color="000000" w:sz="4" w:space="0"/>
              <w:right w:val="single" w:color="000000" w:sz="4" w:space="0"/>
            </w:tcBorders>
            <w:vAlign w:val="center"/>
          </w:tcPr>
          <w:p w14:paraId="682EF79C">
            <w:pPr>
              <w:jc w:val="center"/>
              <w:rPr>
                <w:rFonts w:ascii="仿宋_GB2312" w:hAnsi="微软雅黑" w:eastAsia="仿宋_GB2312"/>
                <w:b/>
                <w:color w:val="000000" w:themeColor="text1"/>
                <w:sz w:val="24"/>
                <w:u w:val="none"/>
                <w14:textFill>
                  <w14:solidFill>
                    <w14:schemeClr w14:val="tx1"/>
                  </w14:solidFill>
                </w14:textFill>
              </w:rPr>
            </w:pPr>
            <w:r>
              <w:rPr>
                <w:rFonts w:hint="eastAsia" w:ascii="仿宋_GB2312" w:hAnsi="微软雅黑" w:eastAsia="仿宋_GB2312"/>
                <w:b/>
                <w:color w:val="000000" w:themeColor="text1"/>
                <w:sz w:val="24"/>
                <w:u w:val="none"/>
                <w14:textFill>
                  <w14:solidFill>
                    <w14:schemeClr w14:val="tx1"/>
                  </w14:solidFill>
                </w14:textFill>
              </w:rPr>
              <w:t>二级类别</w:t>
            </w:r>
          </w:p>
        </w:tc>
        <w:tc>
          <w:tcPr>
            <w:tcW w:w="4961" w:type="dxa"/>
            <w:tcBorders>
              <w:top w:val="single" w:color="000000" w:sz="4" w:space="0"/>
              <w:left w:val="single" w:color="000000" w:sz="4" w:space="0"/>
              <w:bottom w:val="single" w:color="000000" w:sz="4" w:space="0"/>
              <w:right w:val="single" w:color="000000" w:sz="4" w:space="0"/>
            </w:tcBorders>
            <w:vAlign w:val="center"/>
          </w:tcPr>
          <w:p w14:paraId="03AB65C5">
            <w:pPr>
              <w:jc w:val="center"/>
              <w:rPr>
                <w:rFonts w:ascii="仿宋_GB2312" w:hAnsi="微软雅黑" w:eastAsia="仿宋_GB2312"/>
                <w:b/>
                <w:color w:val="000000" w:themeColor="text1"/>
                <w:sz w:val="24"/>
                <w:u w:val="none"/>
                <w14:textFill>
                  <w14:solidFill>
                    <w14:schemeClr w14:val="tx1"/>
                  </w14:solidFill>
                </w14:textFill>
              </w:rPr>
            </w:pPr>
            <w:r>
              <w:rPr>
                <w:rFonts w:hint="eastAsia" w:ascii="仿宋_GB2312" w:hAnsi="微软雅黑" w:eastAsia="仿宋_GB2312"/>
                <w:b/>
                <w:color w:val="000000" w:themeColor="text1"/>
                <w:sz w:val="24"/>
                <w:u w:val="none"/>
                <w14:textFill>
                  <w14:solidFill>
                    <w14:schemeClr w14:val="tx1"/>
                  </w14:solidFill>
                </w14:textFill>
              </w:rPr>
              <w:t>数据基本信息描述</w:t>
            </w:r>
          </w:p>
        </w:tc>
        <w:tc>
          <w:tcPr>
            <w:tcW w:w="5391" w:type="dxa"/>
            <w:tcBorders>
              <w:top w:val="single" w:color="000000" w:sz="4" w:space="0"/>
              <w:left w:val="single" w:color="000000" w:sz="4" w:space="0"/>
              <w:bottom w:val="single" w:color="000000" w:sz="4" w:space="0"/>
              <w:right w:val="single" w:color="000000" w:sz="4" w:space="0"/>
            </w:tcBorders>
            <w:vAlign w:val="center"/>
          </w:tcPr>
          <w:p w14:paraId="6A7DA09F">
            <w:pPr>
              <w:jc w:val="center"/>
              <w:rPr>
                <w:rFonts w:ascii="仿宋_GB2312" w:hAnsi="微软雅黑" w:eastAsia="仿宋_GB2312"/>
                <w:b/>
                <w:color w:val="000000" w:themeColor="text1"/>
                <w:sz w:val="24"/>
                <w:u w:val="none"/>
                <w14:textFill>
                  <w14:solidFill>
                    <w14:schemeClr w14:val="tx1"/>
                  </w14:solidFill>
                </w14:textFill>
              </w:rPr>
            </w:pPr>
            <w:r>
              <w:rPr>
                <w:rFonts w:hint="eastAsia" w:ascii="仿宋_GB2312" w:hAnsi="微软雅黑" w:eastAsia="仿宋_GB2312"/>
                <w:b/>
                <w:color w:val="000000" w:themeColor="text1"/>
                <w:sz w:val="24"/>
                <w:u w:val="none"/>
                <w14:textFill>
                  <w14:solidFill>
                    <w14:schemeClr w14:val="tx1"/>
                  </w14:solidFill>
                </w14:textFill>
              </w:rPr>
              <w:t>重要数据识别</w:t>
            </w:r>
            <w:r>
              <w:rPr>
                <w:rFonts w:ascii="仿宋_GB2312" w:hAnsi="微软雅黑" w:eastAsia="仿宋_GB2312"/>
                <w:b/>
                <w:color w:val="000000" w:themeColor="text1"/>
                <w:sz w:val="24"/>
                <w:u w:val="none"/>
                <w14:textFill>
                  <w14:solidFill>
                    <w14:schemeClr w14:val="tx1"/>
                  </w14:solidFill>
                </w14:textFill>
              </w:rPr>
              <w:t>参考</w:t>
            </w:r>
            <w:r>
              <w:rPr>
                <w:rFonts w:hint="eastAsia" w:ascii="仿宋_GB2312" w:hAnsi="微软雅黑" w:eastAsia="仿宋_GB2312"/>
                <w:b/>
                <w:color w:val="000000" w:themeColor="text1"/>
                <w:sz w:val="24"/>
                <w:u w:val="none"/>
                <w14:textFill>
                  <w14:solidFill>
                    <w14:schemeClr w14:val="tx1"/>
                  </w14:solidFill>
                </w14:textFill>
              </w:rPr>
              <w:t>规则（</w:t>
            </w:r>
            <w:r>
              <w:rPr>
                <w:rFonts w:ascii="仿宋_GB2312" w:hAnsi="微软雅黑" w:eastAsia="仿宋_GB2312"/>
                <w:b/>
                <w:color w:val="000000" w:themeColor="text1"/>
                <w:sz w:val="24"/>
                <w:u w:val="none"/>
                <w14:textFill>
                  <w14:solidFill>
                    <w14:schemeClr w14:val="tx1"/>
                  </w14:solidFill>
                </w14:textFill>
              </w:rPr>
              <w:t>示例）</w:t>
            </w:r>
          </w:p>
        </w:tc>
      </w:tr>
      <w:tr w14:paraId="6C3549D8">
        <w:tblPrEx>
          <w:tblCellMar>
            <w:top w:w="0" w:type="dxa"/>
            <w:left w:w="108" w:type="dxa"/>
            <w:bottom w:w="0" w:type="dxa"/>
            <w:right w:w="108" w:type="dxa"/>
          </w:tblCellMar>
        </w:tblPrEx>
        <w:trPr>
          <w:trHeight w:val="90" w:hRule="atLeast"/>
          <w:jc w:val="center"/>
        </w:trPr>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03EC2992">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（一）战略物资和大宗商品类</w:t>
            </w:r>
          </w:p>
        </w:tc>
        <w:tc>
          <w:tcPr>
            <w:tcW w:w="1661" w:type="dxa"/>
            <w:tcBorders>
              <w:top w:val="single" w:color="000000" w:sz="4" w:space="0"/>
              <w:left w:val="single" w:color="000000" w:sz="4" w:space="0"/>
              <w:bottom w:val="single" w:color="000000" w:sz="4" w:space="0"/>
              <w:right w:val="single" w:color="000000" w:sz="4" w:space="0"/>
            </w:tcBorders>
            <w:vAlign w:val="center"/>
          </w:tcPr>
          <w:p w14:paraId="6F3CA542">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1.石油、石化和天然气</w:t>
            </w:r>
          </w:p>
        </w:tc>
        <w:tc>
          <w:tcPr>
            <w:tcW w:w="4961" w:type="dxa"/>
            <w:tcBorders>
              <w:top w:val="single" w:color="000000" w:sz="4" w:space="0"/>
              <w:left w:val="single" w:color="000000" w:sz="4" w:space="0"/>
              <w:bottom w:val="single" w:color="000000" w:sz="4" w:space="0"/>
              <w:right w:val="single" w:color="000000" w:sz="4" w:space="0"/>
            </w:tcBorders>
            <w:vAlign w:val="center"/>
          </w:tcPr>
          <w:p w14:paraId="18106329">
            <w:pPr>
              <w:rPr>
                <w:rFonts w:ascii="仿宋_GB2312" w:hAnsi="微软雅黑" w:eastAsia="仿宋_GB2312"/>
                <w:color w:val="000000" w:themeColor="text1"/>
                <w:sz w:val="22"/>
                <w:szCs w:val="22"/>
                <w:u w:val="none"/>
                <w14:textFill>
                  <w14:solidFill>
                    <w14:schemeClr w14:val="tx1"/>
                  </w14:solidFill>
                </w14:textFill>
              </w:rPr>
            </w:pPr>
            <w:r>
              <w:rPr>
                <w:rFonts w:hint="eastAsia" w:eastAsia="仿宋_GB2312"/>
                <w:color w:val="000000" w:themeColor="text1"/>
                <w:sz w:val="22"/>
                <w:szCs w:val="22"/>
                <w:u w:val="none"/>
                <w:lang w:bidi="ar"/>
                <w14:textFill>
                  <w14:solidFill>
                    <w14:schemeClr w14:val="tx1"/>
                  </w14:solidFill>
                </w14:textFill>
              </w:rPr>
              <w:t>包括存储与交易数据、国际贸易数据</w:t>
            </w:r>
            <w:r>
              <w:rPr>
                <w:rFonts w:hint="eastAsia" w:ascii="仿宋_GB2312" w:hAnsi="微软雅黑" w:eastAsia="仿宋_GB2312"/>
                <w:color w:val="000000" w:themeColor="text1"/>
                <w:sz w:val="22"/>
                <w:szCs w:val="22"/>
                <w:u w:val="none"/>
                <w14:textFill>
                  <w14:solidFill>
                    <w14:schemeClr w14:val="tx1"/>
                  </w14:solidFill>
                </w14:textFill>
              </w:rPr>
              <w:t>等。</w:t>
            </w:r>
          </w:p>
        </w:tc>
        <w:tc>
          <w:tcPr>
            <w:tcW w:w="5391" w:type="dxa"/>
            <w:vMerge w:val="restart"/>
            <w:tcBorders>
              <w:top w:val="single" w:color="000000" w:sz="4" w:space="0"/>
              <w:left w:val="single" w:color="000000" w:sz="4" w:space="0"/>
              <w:bottom w:val="single" w:color="000000" w:sz="4" w:space="0"/>
              <w:right w:val="single" w:color="000000" w:sz="4" w:space="0"/>
            </w:tcBorders>
            <w:vAlign w:val="center"/>
          </w:tcPr>
          <w:p w14:paraId="01EF0799">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石油、石化、天然气领域可能推算出涉及国家重大战略的重要领域运行状况、发展态势、增长速度等的产品产量数据、国际贸易数据等。</w:t>
            </w:r>
            <w:r>
              <w:rPr>
                <w:rFonts w:hint="eastAsia" w:eastAsia="仿宋_GB2312"/>
                <w:color w:val="000000" w:themeColor="text1"/>
                <w:sz w:val="22"/>
                <w:szCs w:val="22"/>
                <w:u w:val="none"/>
                <w:lang w:bidi="ar"/>
                <w14:textFill>
                  <w14:solidFill>
                    <w14:schemeClr w14:val="tx1"/>
                  </w14:solidFill>
                </w14:textFill>
              </w:rPr>
              <w:t>粮食、棉花、食用植物油、食糖、肉类、乳制品等大宗农产品战略储备数据以及未公开的国际合作数据、国际贸易数据，涉及农作物、畜禽、水产珍稀濒危种质资源（含基因）类别、数量等方面的可能影响生物安全的数据，未公开的农业农村统计数据、检验监测数据、防疫检疫数据，达到一定精度或者未公开的地理信息数据</w:t>
            </w:r>
            <w:r>
              <w:rPr>
                <w:rFonts w:hint="eastAsia" w:ascii="仿宋_GB2312" w:hAnsi="微软雅黑" w:eastAsia="仿宋_GB2312"/>
                <w:color w:val="000000" w:themeColor="text1"/>
                <w:sz w:val="22"/>
                <w:szCs w:val="22"/>
                <w:u w:val="none"/>
                <w14:textFill>
                  <w14:solidFill>
                    <w14:schemeClr w14:val="tx1"/>
                  </w14:solidFill>
                </w14:textFill>
              </w:rPr>
              <w:t>。</w:t>
            </w:r>
          </w:p>
        </w:tc>
      </w:tr>
      <w:tr w14:paraId="0A1DB8B2">
        <w:tblPrEx>
          <w:tblCellMar>
            <w:top w:w="0" w:type="dxa"/>
            <w:left w:w="108" w:type="dxa"/>
            <w:bottom w:w="0" w:type="dxa"/>
            <w:right w:w="108" w:type="dxa"/>
          </w:tblCellMar>
        </w:tblPrEx>
        <w:trPr>
          <w:trHeight w:val="9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7DDD2E72">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732A8474">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2.农产品</w:t>
            </w:r>
          </w:p>
        </w:tc>
        <w:tc>
          <w:tcPr>
            <w:tcW w:w="4961" w:type="dxa"/>
            <w:tcBorders>
              <w:top w:val="single" w:color="000000" w:sz="4" w:space="0"/>
              <w:left w:val="single" w:color="000000" w:sz="4" w:space="0"/>
              <w:bottom w:val="single" w:color="000000" w:sz="4" w:space="0"/>
              <w:right w:val="single" w:color="000000" w:sz="4" w:space="0"/>
            </w:tcBorders>
            <w:vAlign w:val="center"/>
          </w:tcPr>
          <w:p w14:paraId="4CDA528E">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w:t>
            </w:r>
            <w:r>
              <w:rPr>
                <w:rFonts w:hint="eastAsia" w:eastAsia="仿宋_GB2312"/>
                <w:color w:val="000000" w:themeColor="text1"/>
                <w:sz w:val="22"/>
                <w:szCs w:val="22"/>
                <w:u w:val="none"/>
                <w:lang w:bidi="ar"/>
                <w14:textFill>
                  <w14:solidFill>
                    <w14:schemeClr w14:val="tx1"/>
                  </w14:solidFill>
                </w14:textFill>
              </w:rPr>
              <w:t>种质资源数据、</w:t>
            </w:r>
            <w:r>
              <w:rPr>
                <w:rFonts w:hint="eastAsia" w:ascii="仿宋_GB2312" w:hAnsi="微软雅黑" w:eastAsia="仿宋_GB2312"/>
                <w:color w:val="000000" w:themeColor="text1"/>
                <w:sz w:val="22"/>
                <w:szCs w:val="22"/>
                <w:u w:val="none"/>
                <w14:textFill>
                  <w14:solidFill>
                    <w14:schemeClr w14:val="tx1"/>
                  </w14:solidFill>
                </w14:textFill>
              </w:rPr>
              <w:t>国际合作数据、国际贸易数据、战略储备数据等。</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5E0C5BF4">
            <w:pPr>
              <w:rPr>
                <w:rFonts w:ascii="仿宋_GB2312" w:hAnsi="微软雅黑" w:eastAsia="仿宋_GB2312"/>
                <w:color w:val="000000" w:themeColor="text1"/>
                <w:sz w:val="22"/>
                <w:szCs w:val="22"/>
                <w:u w:val="none"/>
                <w14:textFill>
                  <w14:solidFill>
                    <w14:schemeClr w14:val="tx1"/>
                  </w14:solidFill>
                </w14:textFill>
              </w:rPr>
            </w:pPr>
          </w:p>
        </w:tc>
      </w:tr>
      <w:tr w14:paraId="0370FE43">
        <w:tblPrEx>
          <w:tblCellMar>
            <w:top w:w="0" w:type="dxa"/>
            <w:left w:w="108" w:type="dxa"/>
            <w:bottom w:w="0" w:type="dxa"/>
            <w:right w:w="108" w:type="dxa"/>
          </w:tblCellMar>
        </w:tblPrEx>
        <w:trPr>
          <w:trHeight w:val="1890" w:hRule="atLeast"/>
          <w:jc w:val="center"/>
        </w:trPr>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64E29C28">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（二）自然资源和环境类</w:t>
            </w:r>
          </w:p>
        </w:tc>
        <w:tc>
          <w:tcPr>
            <w:tcW w:w="1661" w:type="dxa"/>
            <w:tcBorders>
              <w:top w:val="single" w:color="000000" w:sz="4" w:space="0"/>
              <w:left w:val="single" w:color="000000" w:sz="4" w:space="0"/>
              <w:bottom w:val="single" w:color="000000" w:sz="4" w:space="0"/>
              <w:right w:val="single" w:color="000000" w:sz="4" w:space="0"/>
            </w:tcBorders>
            <w:vAlign w:val="center"/>
          </w:tcPr>
          <w:p w14:paraId="7EFCFF00">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3.地理信息</w:t>
            </w:r>
          </w:p>
        </w:tc>
        <w:tc>
          <w:tcPr>
            <w:tcW w:w="4961" w:type="dxa"/>
            <w:tcBorders>
              <w:top w:val="single" w:color="000000" w:sz="4" w:space="0"/>
              <w:left w:val="single" w:color="000000" w:sz="4" w:space="0"/>
              <w:bottom w:val="single" w:color="000000" w:sz="4" w:space="0"/>
              <w:right w:val="single" w:color="000000" w:sz="4" w:space="0"/>
            </w:tcBorders>
            <w:vAlign w:val="center"/>
          </w:tcPr>
          <w:p w14:paraId="5F70E634">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包括基础地理信息数据，可细分为定位基础数据、地名地址数据、地形地貌数据、</w:t>
            </w:r>
            <w:r>
              <w:rPr>
                <w:rFonts w:hint="eastAsia" w:eastAsia="仿宋_GB2312"/>
                <w:color w:val="000000" w:themeColor="text1"/>
                <w:sz w:val="22"/>
                <w:szCs w:val="22"/>
                <w:u w:val="none"/>
                <w:lang w:bidi="ar"/>
                <w14:textFill>
                  <w14:solidFill>
                    <w14:schemeClr w14:val="tx1"/>
                  </w14:solidFill>
                </w14:textFill>
              </w:rPr>
              <w:t>基础地理实体数据，</w:t>
            </w:r>
            <w:r>
              <w:rPr>
                <w:rFonts w:hint="eastAsia" w:ascii="仿宋_GB2312" w:hAnsi="微软雅黑" w:eastAsia="仿宋_GB2312"/>
                <w:color w:val="000000" w:themeColor="text1"/>
                <w:sz w:val="22"/>
                <w:szCs w:val="22"/>
                <w:u w:val="none"/>
                <w14:textFill>
                  <w14:solidFill>
                    <w14:schemeClr w14:val="tx1"/>
                  </w14:solidFill>
                </w14:textFill>
              </w:rPr>
              <w:t>其他基础地理信息数据；遥感影像数据，可细分为原始影像数据、影像产品数据和其他遥感影像数据等；专题地理信息数据，可细分为自然资源</w:t>
            </w:r>
            <w:r>
              <w:rPr>
                <w:rFonts w:hint="eastAsia" w:eastAsia="仿宋_GB2312"/>
                <w:color w:val="000000" w:themeColor="text1"/>
                <w:sz w:val="22"/>
                <w:szCs w:val="22"/>
                <w:u w:val="none"/>
                <w:lang w:bidi="ar"/>
                <w14:textFill>
                  <w14:solidFill>
                    <w14:schemeClr w14:val="tx1"/>
                  </w14:solidFill>
                </w14:textFill>
              </w:rPr>
              <w:t>、</w:t>
            </w:r>
            <w:r>
              <w:rPr>
                <w:rFonts w:hint="eastAsia" w:ascii="仿宋_GB2312" w:hAnsi="微软雅黑" w:eastAsia="仿宋_GB2312"/>
                <w:color w:val="000000" w:themeColor="text1"/>
                <w:sz w:val="22"/>
                <w:szCs w:val="22"/>
                <w:u w:val="none"/>
                <w14:textFill>
                  <w14:solidFill>
                    <w14:schemeClr w14:val="tx1"/>
                  </w14:solidFill>
                </w14:textFill>
              </w:rPr>
              <w:t>生态环境等领域的专题地理信息。</w:t>
            </w:r>
          </w:p>
        </w:tc>
        <w:tc>
          <w:tcPr>
            <w:tcW w:w="5391" w:type="dxa"/>
            <w:vMerge w:val="restart"/>
            <w:tcBorders>
              <w:top w:val="single" w:color="000000" w:sz="4" w:space="0"/>
              <w:left w:val="single" w:color="000000" w:sz="4" w:space="0"/>
              <w:bottom w:val="single" w:color="000000" w:sz="4" w:space="0"/>
              <w:right w:val="single" w:color="000000" w:sz="4" w:space="0"/>
            </w:tcBorders>
            <w:vAlign w:val="center"/>
          </w:tcPr>
          <w:p w14:paraId="0B0147C8">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达到国家规定的覆盖度、精度和尺度等，或表现敏感区域和目标的地理信息数据。服务军事、国防科研、高科技领域的各类气象监测数据。不宜公开发布</w:t>
            </w:r>
            <w:r>
              <w:rPr>
                <w:rFonts w:hint="eastAsia" w:ascii="仿宋_GB2312" w:hAnsi="微软雅黑" w:eastAsia="仿宋_GB2312"/>
                <w:color w:val="000000" w:themeColor="text1"/>
                <w:sz w:val="22"/>
                <w:szCs w:val="22"/>
                <w:u w:val="none"/>
                <w:lang w:val="en-US" w:eastAsia="zh-CN"/>
                <w14:textFill>
                  <w14:solidFill>
                    <w14:schemeClr w14:val="tx1"/>
                  </w14:solidFill>
                </w14:textFill>
              </w:rPr>
              <w:t>或</w:t>
            </w:r>
            <w:r>
              <w:rPr>
                <w:rFonts w:hint="eastAsia" w:ascii="仿宋_GB2312" w:hAnsi="微软雅黑" w:eastAsia="仿宋_GB2312"/>
                <w:color w:val="000000" w:themeColor="text1"/>
                <w:sz w:val="22"/>
                <w:szCs w:val="22"/>
                <w:u w:val="none"/>
                <w14:textFill>
                  <w14:solidFill>
                    <w14:schemeClr w14:val="tx1"/>
                  </w14:solidFill>
                </w14:textFill>
              </w:rPr>
              <w:t>具有军事价值的海洋</w:t>
            </w:r>
            <w:r>
              <w:rPr>
                <w:rFonts w:hint="eastAsia" w:ascii="仿宋_GB2312" w:hAnsi="微软雅黑" w:eastAsia="仿宋_GB2312"/>
                <w:color w:val="000000" w:themeColor="text1"/>
                <w:sz w:val="22"/>
                <w:szCs w:val="22"/>
                <w:u w:val="none"/>
                <w:lang w:eastAsia="zh-CN"/>
                <w14:textFill>
                  <w14:solidFill>
                    <w14:schemeClr w14:val="tx1"/>
                  </w14:solidFill>
                </w14:textFill>
              </w:rPr>
              <w:t>生态</w:t>
            </w:r>
            <w:r>
              <w:rPr>
                <w:rFonts w:hint="eastAsia" w:ascii="仿宋_GB2312" w:hAnsi="微软雅黑" w:eastAsia="仿宋_GB2312"/>
                <w:color w:val="000000" w:themeColor="text1"/>
                <w:sz w:val="22"/>
                <w:szCs w:val="22"/>
                <w:u w:val="none"/>
                <w14:textFill>
                  <w14:solidFill>
                    <w14:schemeClr w14:val="tx1"/>
                  </w14:solidFill>
                </w14:textFill>
              </w:rPr>
              <w:t>环境监测数据、灾害防御数据等。</w:t>
            </w:r>
            <w:r>
              <w:rPr>
                <w:rFonts w:hint="eastAsia" w:eastAsia="仿宋_GB2312"/>
                <w:color w:val="000000" w:themeColor="text1"/>
                <w:sz w:val="22"/>
                <w:szCs w:val="22"/>
                <w:u w:val="none"/>
                <w:lang w:bidi="ar"/>
                <w14:textFill>
                  <w14:solidFill>
                    <w14:schemeClr w14:val="tx1"/>
                  </w14:solidFill>
                </w14:textFill>
              </w:rPr>
              <w:t>能够反映水旱灾情、工程险情等水旱灾害防御业务数据，险工险段等水利基础数据，不宜公开的国家水资源、水环境基础数据、水情信息、水文观测数据等，满足一定精度要求的遥感影像、数字孪生水利数据等，重点水利工程物理安全保护情况等。</w:t>
            </w:r>
          </w:p>
        </w:tc>
      </w:tr>
      <w:tr w14:paraId="03584189">
        <w:tblPrEx>
          <w:tblCellMar>
            <w:top w:w="0" w:type="dxa"/>
            <w:left w:w="108" w:type="dxa"/>
            <w:bottom w:w="0" w:type="dxa"/>
            <w:right w:w="108" w:type="dxa"/>
          </w:tblCellMar>
        </w:tblPrEx>
        <w:trPr>
          <w:trHeight w:val="81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1325E8C5">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3CF02F7F">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4.气象</w:t>
            </w:r>
          </w:p>
        </w:tc>
        <w:tc>
          <w:tcPr>
            <w:tcW w:w="4961" w:type="dxa"/>
            <w:tcBorders>
              <w:top w:val="single" w:color="000000" w:sz="4" w:space="0"/>
              <w:left w:val="single" w:color="000000" w:sz="4" w:space="0"/>
              <w:bottom w:val="single" w:color="000000" w:sz="4" w:space="0"/>
              <w:right w:val="single" w:color="000000" w:sz="4" w:space="0"/>
            </w:tcBorders>
            <w:vAlign w:val="center"/>
          </w:tcPr>
          <w:p w14:paraId="38334C09">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包括气象监测数据、空间大气监测数据、气象保障数据、区域气象数据、雷达基数据、气象台站元数据等。</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547E4DBD">
            <w:pPr>
              <w:rPr>
                <w:rFonts w:ascii="仿宋_GB2312" w:hAnsi="微软雅黑" w:eastAsia="仿宋_GB2312"/>
                <w:color w:val="000000" w:themeColor="text1"/>
                <w:sz w:val="22"/>
                <w:szCs w:val="22"/>
                <w:u w:val="none"/>
                <w14:textFill>
                  <w14:solidFill>
                    <w14:schemeClr w14:val="tx1"/>
                  </w14:solidFill>
                </w14:textFill>
              </w:rPr>
            </w:pPr>
          </w:p>
        </w:tc>
      </w:tr>
      <w:tr w14:paraId="5AE496FE">
        <w:tblPrEx>
          <w:tblCellMar>
            <w:top w:w="0" w:type="dxa"/>
            <w:left w:w="108" w:type="dxa"/>
            <w:bottom w:w="0" w:type="dxa"/>
            <w:right w:w="108" w:type="dxa"/>
          </w:tblCellMar>
        </w:tblPrEx>
        <w:trPr>
          <w:trHeight w:val="27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44EFCB74">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0F6AE009">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5.海洋</w:t>
            </w:r>
          </w:p>
        </w:tc>
        <w:tc>
          <w:tcPr>
            <w:tcW w:w="4961" w:type="dxa"/>
            <w:tcBorders>
              <w:top w:val="single" w:color="000000" w:sz="4" w:space="0"/>
              <w:left w:val="single" w:color="000000" w:sz="4" w:space="0"/>
              <w:bottom w:val="single" w:color="000000" w:sz="4" w:space="0"/>
              <w:right w:val="single" w:color="000000" w:sz="4" w:space="0"/>
            </w:tcBorders>
            <w:vAlign w:val="center"/>
          </w:tcPr>
          <w:p w14:paraId="3ECC36D1">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包括海洋环境数据、海洋资源数据。</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631F8DE1">
            <w:pPr>
              <w:rPr>
                <w:rFonts w:ascii="仿宋_GB2312" w:hAnsi="微软雅黑" w:eastAsia="仿宋_GB2312"/>
                <w:color w:val="000000" w:themeColor="text1"/>
                <w:sz w:val="22"/>
                <w:szCs w:val="22"/>
                <w:u w:val="none"/>
                <w14:textFill>
                  <w14:solidFill>
                    <w14:schemeClr w14:val="tx1"/>
                  </w14:solidFill>
                </w14:textFill>
              </w:rPr>
            </w:pPr>
          </w:p>
        </w:tc>
      </w:tr>
      <w:tr w14:paraId="2D7A33B2">
        <w:tblPrEx>
          <w:tblCellMar>
            <w:top w:w="0" w:type="dxa"/>
            <w:left w:w="108" w:type="dxa"/>
            <w:bottom w:w="0" w:type="dxa"/>
            <w:right w:w="108" w:type="dxa"/>
          </w:tblCellMar>
        </w:tblPrEx>
        <w:trPr>
          <w:trHeight w:val="81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022EA184">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202A907D">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6.环保</w:t>
            </w:r>
          </w:p>
        </w:tc>
        <w:tc>
          <w:tcPr>
            <w:tcW w:w="4961" w:type="dxa"/>
            <w:tcBorders>
              <w:top w:val="single" w:color="000000" w:sz="4" w:space="0"/>
              <w:left w:val="single" w:color="000000" w:sz="4" w:space="0"/>
              <w:bottom w:val="single" w:color="000000" w:sz="4" w:space="0"/>
              <w:right w:val="single" w:color="000000" w:sz="4" w:space="0"/>
            </w:tcBorders>
            <w:vAlign w:val="center"/>
          </w:tcPr>
          <w:p w14:paraId="02CE21D7">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包括反映污染物排放水平的自行监测、接受行政处罚或其他污染物排放等数据。</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3878C05B">
            <w:pPr>
              <w:rPr>
                <w:rFonts w:ascii="仿宋_GB2312" w:hAnsi="微软雅黑" w:eastAsia="仿宋_GB2312"/>
                <w:color w:val="000000" w:themeColor="text1"/>
                <w:sz w:val="22"/>
                <w:szCs w:val="22"/>
                <w:u w:val="none"/>
                <w14:textFill>
                  <w14:solidFill>
                    <w14:schemeClr w14:val="tx1"/>
                  </w14:solidFill>
                </w14:textFill>
              </w:rPr>
            </w:pPr>
          </w:p>
        </w:tc>
      </w:tr>
      <w:tr w14:paraId="0147926F">
        <w:tblPrEx>
          <w:tblCellMar>
            <w:top w:w="0" w:type="dxa"/>
            <w:left w:w="108" w:type="dxa"/>
            <w:bottom w:w="0" w:type="dxa"/>
            <w:right w:w="108" w:type="dxa"/>
          </w:tblCellMar>
        </w:tblPrEx>
        <w:trPr>
          <w:trHeight w:val="81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67ACAB6E">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739021FB">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7.水利</w:t>
            </w:r>
          </w:p>
        </w:tc>
        <w:tc>
          <w:tcPr>
            <w:tcW w:w="4961" w:type="dxa"/>
            <w:tcBorders>
              <w:top w:val="single" w:color="000000" w:sz="4" w:space="0"/>
              <w:left w:val="single" w:color="000000" w:sz="4" w:space="0"/>
              <w:bottom w:val="single" w:color="000000" w:sz="4" w:space="0"/>
              <w:right w:val="single" w:color="000000" w:sz="4" w:space="0"/>
            </w:tcBorders>
            <w:vAlign w:val="center"/>
          </w:tcPr>
          <w:p w14:paraId="76B11B3C">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eastAsia="仿宋_GB2312"/>
                <w:color w:val="000000" w:themeColor="text1"/>
                <w:sz w:val="22"/>
                <w:szCs w:val="22"/>
                <w:u w:val="none"/>
                <w:lang w:bidi="ar"/>
                <w14:textFill>
                  <w14:solidFill>
                    <w14:schemeClr w14:val="tx1"/>
                  </w14:solidFill>
                </w14:textFill>
              </w:rPr>
              <w:t>包括江河湖泊、水利工程、监测站等水利基础数据，水旱灾害防御、水资源、水文、水环境、节约用水、移民等水利业务数据，数字孪生水利数据等</w:t>
            </w:r>
            <w:r>
              <w:rPr>
                <w:rFonts w:hint="eastAsia" w:ascii="仿宋_GB2312" w:hAnsi="微软雅黑" w:eastAsia="仿宋_GB2312"/>
                <w:color w:val="000000" w:themeColor="text1"/>
                <w:sz w:val="22"/>
                <w:szCs w:val="22"/>
                <w:u w:val="none"/>
                <w14:textFill>
                  <w14:solidFill>
                    <w14:schemeClr w14:val="tx1"/>
                  </w14:solidFill>
                </w14:textFill>
              </w:rPr>
              <w:t>。</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2932A4F5">
            <w:pPr>
              <w:rPr>
                <w:rFonts w:ascii="仿宋_GB2312" w:hAnsi="微软雅黑" w:eastAsia="仿宋_GB2312"/>
                <w:color w:val="000000" w:themeColor="text1"/>
                <w:sz w:val="22"/>
                <w:szCs w:val="22"/>
                <w:u w:val="none"/>
                <w14:textFill>
                  <w14:solidFill>
                    <w14:schemeClr w14:val="tx1"/>
                  </w14:solidFill>
                </w14:textFill>
              </w:rPr>
            </w:pPr>
          </w:p>
        </w:tc>
      </w:tr>
      <w:tr w14:paraId="7D2E019C">
        <w:tblPrEx>
          <w:tblCellMar>
            <w:top w:w="0" w:type="dxa"/>
            <w:left w:w="108" w:type="dxa"/>
            <w:bottom w:w="0" w:type="dxa"/>
            <w:right w:w="108" w:type="dxa"/>
          </w:tblCellMar>
        </w:tblPrEx>
        <w:trPr>
          <w:trHeight w:val="540" w:hRule="atLeast"/>
          <w:jc w:val="center"/>
        </w:trPr>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2125C1E9">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（三）工业类</w:t>
            </w:r>
          </w:p>
        </w:tc>
        <w:tc>
          <w:tcPr>
            <w:tcW w:w="1661" w:type="dxa"/>
            <w:tcBorders>
              <w:top w:val="single" w:color="000000" w:sz="4" w:space="0"/>
              <w:left w:val="single" w:color="000000" w:sz="4" w:space="0"/>
              <w:bottom w:val="single" w:color="000000" w:sz="4" w:space="0"/>
              <w:right w:val="single" w:color="000000" w:sz="4" w:space="0"/>
            </w:tcBorders>
            <w:vAlign w:val="center"/>
          </w:tcPr>
          <w:p w14:paraId="2AF41C60">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8.钢铁、有色金属</w:t>
            </w:r>
          </w:p>
        </w:tc>
        <w:tc>
          <w:tcPr>
            <w:tcW w:w="4961" w:type="dxa"/>
            <w:tcBorders>
              <w:top w:val="single" w:color="000000" w:sz="4" w:space="0"/>
              <w:left w:val="single" w:color="000000" w:sz="4" w:space="0"/>
              <w:bottom w:val="single" w:color="000000" w:sz="4" w:space="0"/>
              <w:right w:val="single" w:color="000000" w:sz="4" w:space="0"/>
            </w:tcBorders>
            <w:vAlign w:val="center"/>
          </w:tcPr>
          <w:p w14:paraId="4F8A1AA9">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参照《工业领域重要数据识别指南》（YD/T4981-2024）识别。</w:t>
            </w:r>
          </w:p>
        </w:tc>
        <w:tc>
          <w:tcPr>
            <w:tcW w:w="5391" w:type="dxa"/>
            <w:vMerge w:val="restart"/>
            <w:tcBorders>
              <w:top w:val="single" w:color="000000" w:sz="4" w:space="0"/>
              <w:left w:val="single" w:color="000000" w:sz="4" w:space="0"/>
              <w:bottom w:val="single" w:color="000000" w:sz="4" w:space="0"/>
              <w:right w:val="single" w:color="000000" w:sz="4" w:space="0"/>
            </w:tcBorders>
            <w:vAlign w:val="center"/>
          </w:tcPr>
          <w:p w14:paraId="1C5408D7">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具有重要军用、民用价值的有色金属储量、产量、采购量等数据，国家钢铁、有色金属战略储备数据或战略性有色金属矿床的重要地质数据，富含重要伴生矿资源的矿区数据。我国独特掌握的稀土开采、冶炼等生产技术数据。大宗原材料信息，以及能够左右原材料采购定价权的数据。</w:t>
            </w:r>
          </w:p>
        </w:tc>
      </w:tr>
      <w:tr w14:paraId="6F580488">
        <w:tblPrEx>
          <w:tblCellMar>
            <w:top w:w="0" w:type="dxa"/>
            <w:left w:w="108" w:type="dxa"/>
            <w:bottom w:w="0" w:type="dxa"/>
            <w:right w:w="108" w:type="dxa"/>
          </w:tblCellMar>
        </w:tblPrEx>
        <w:trPr>
          <w:trHeight w:val="54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4944ACCF">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14EA7459">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9.稀土</w:t>
            </w:r>
          </w:p>
        </w:tc>
        <w:tc>
          <w:tcPr>
            <w:tcW w:w="4961" w:type="dxa"/>
            <w:tcBorders>
              <w:top w:val="single" w:color="000000" w:sz="4" w:space="0"/>
              <w:left w:val="single" w:color="000000" w:sz="4" w:space="0"/>
              <w:bottom w:val="single" w:color="000000" w:sz="4" w:space="0"/>
              <w:right w:val="single" w:color="000000" w:sz="4" w:space="0"/>
            </w:tcBorders>
            <w:vAlign w:val="center"/>
          </w:tcPr>
          <w:p w14:paraId="3E6BB097">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参照《工业领域重要数据识别指南》（YD/T4981-2024）识别。</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3FA454E4">
            <w:pPr>
              <w:rPr>
                <w:rFonts w:ascii="仿宋_GB2312" w:hAnsi="微软雅黑" w:eastAsia="仿宋_GB2312"/>
                <w:color w:val="000000" w:themeColor="text1"/>
                <w:sz w:val="22"/>
                <w:szCs w:val="22"/>
                <w:u w:val="none"/>
                <w14:textFill>
                  <w14:solidFill>
                    <w14:schemeClr w14:val="tx1"/>
                  </w14:solidFill>
                </w14:textFill>
              </w:rPr>
            </w:pPr>
          </w:p>
        </w:tc>
      </w:tr>
      <w:tr w14:paraId="2E0D167B">
        <w:tblPrEx>
          <w:tblCellMar>
            <w:top w:w="0" w:type="dxa"/>
            <w:left w:w="108" w:type="dxa"/>
            <w:bottom w:w="0" w:type="dxa"/>
            <w:right w:w="108" w:type="dxa"/>
          </w:tblCellMar>
        </w:tblPrEx>
        <w:trPr>
          <w:trHeight w:val="81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3A31E9D8">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543FAC43">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10.其他矿产</w:t>
            </w:r>
          </w:p>
        </w:tc>
        <w:tc>
          <w:tcPr>
            <w:tcW w:w="4961" w:type="dxa"/>
            <w:tcBorders>
              <w:top w:val="single" w:color="000000" w:sz="4" w:space="0"/>
              <w:left w:val="single" w:color="000000" w:sz="4" w:space="0"/>
              <w:bottom w:val="single" w:color="000000" w:sz="4" w:space="0"/>
              <w:right w:val="single" w:color="000000" w:sz="4" w:space="0"/>
            </w:tcBorders>
            <w:vAlign w:val="center"/>
          </w:tcPr>
          <w:p w14:paraId="5E3CD0A9">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包括储量数据、国际合作数据、国际贸易谈判数据、与矿产有关的产业发展布局情况。</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117859F2">
            <w:pPr>
              <w:rPr>
                <w:rFonts w:ascii="仿宋_GB2312" w:hAnsi="微软雅黑" w:eastAsia="仿宋_GB2312"/>
                <w:color w:val="000000" w:themeColor="text1"/>
                <w:sz w:val="22"/>
                <w:szCs w:val="22"/>
                <w:u w:val="none"/>
                <w14:textFill>
                  <w14:solidFill>
                    <w14:schemeClr w14:val="tx1"/>
                  </w14:solidFill>
                </w14:textFill>
              </w:rPr>
            </w:pPr>
          </w:p>
        </w:tc>
      </w:tr>
      <w:tr w14:paraId="7D909AFF">
        <w:tblPrEx>
          <w:tblCellMar>
            <w:top w:w="0" w:type="dxa"/>
            <w:left w:w="108" w:type="dxa"/>
            <w:bottom w:w="0" w:type="dxa"/>
            <w:right w:w="108" w:type="dxa"/>
          </w:tblCellMar>
        </w:tblPrEx>
        <w:trPr>
          <w:trHeight w:val="81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735EEB66">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1D71E1A3">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11.化学工业</w:t>
            </w:r>
          </w:p>
        </w:tc>
        <w:tc>
          <w:tcPr>
            <w:tcW w:w="4961" w:type="dxa"/>
            <w:tcBorders>
              <w:top w:val="single" w:color="000000" w:sz="4" w:space="0"/>
              <w:left w:val="single" w:color="000000" w:sz="4" w:space="0"/>
              <w:bottom w:val="single" w:color="000000" w:sz="4" w:space="0"/>
              <w:right w:val="single" w:color="000000" w:sz="4" w:space="0"/>
            </w:tcBorders>
            <w:vAlign w:val="center"/>
          </w:tcPr>
          <w:p w14:paraId="7A11C369">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参照《工业领域重要数据识别指南》（YD/T4981-2024）识别。</w:t>
            </w:r>
          </w:p>
        </w:tc>
        <w:tc>
          <w:tcPr>
            <w:tcW w:w="5391" w:type="dxa"/>
            <w:vMerge w:val="restart"/>
            <w:tcBorders>
              <w:top w:val="single" w:color="000000" w:sz="4" w:space="0"/>
              <w:left w:val="single" w:color="000000" w:sz="4" w:space="0"/>
              <w:bottom w:val="single" w:color="000000" w:sz="4" w:space="0"/>
              <w:right w:val="single" w:color="000000" w:sz="4" w:space="0"/>
            </w:tcBorders>
            <w:vAlign w:val="center"/>
          </w:tcPr>
          <w:p w14:paraId="55774776">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北京“两区”企业掌握的重点危险化学品检测监控、关键工艺、设备运行、产量储量等数据。民用核设施领域科研试验数据，运行监控数据等。电子信息行业先进技术、集成电路先进设计和制造技术、重大计算装备设计数据、算法和软硬件架构以及重要电子元器件设备国产化率等信息。</w:t>
            </w:r>
          </w:p>
        </w:tc>
      </w:tr>
      <w:tr w14:paraId="2050F30C">
        <w:tblPrEx>
          <w:tblCellMar>
            <w:top w:w="0" w:type="dxa"/>
            <w:left w:w="108" w:type="dxa"/>
            <w:bottom w:w="0" w:type="dxa"/>
            <w:right w:w="108" w:type="dxa"/>
          </w:tblCellMar>
        </w:tblPrEx>
        <w:trPr>
          <w:trHeight w:val="706"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321B6497">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5DEBF173">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12.电力</w:t>
            </w:r>
          </w:p>
        </w:tc>
        <w:tc>
          <w:tcPr>
            <w:tcW w:w="4961" w:type="dxa"/>
            <w:tcBorders>
              <w:top w:val="single" w:color="000000" w:sz="4" w:space="0"/>
              <w:left w:val="single" w:color="000000" w:sz="4" w:space="0"/>
              <w:bottom w:val="single" w:color="000000" w:sz="4" w:space="0"/>
              <w:right w:val="single" w:color="000000" w:sz="4" w:space="0"/>
            </w:tcBorders>
            <w:vAlign w:val="center"/>
          </w:tcPr>
          <w:p w14:paraId="08FF9996">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包括发电厂生产数据、输配电数据、建设运维数据。</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180B0DA9">
            <w:pPr>
              <w:rPr>
                <w:rFonts w:ascii="仿宋_GB2312" w:hAnsi="微软雅黑" w:eastAsia="仿宋_GB2312"/>
                <w:color w:val="000000" w:themeColor="text1"/>
                <w:sz w:val="22"/>
                <w:szCs w:val="22"/>
                <w:u w:val="none"/>
                <w14:textFill>
                  <w14:solidFill>
                    <w14:schemeClr w14:val="tx1"/>
                  </w14:solidFill>
                </w14:textFill>
              </w:rPr>
            </w:pPr>
          </w:p>
        </w:tc>
      </w:tr>
      <w:tr w14:paraId="5C0DF591">
        <w:tblPrEx>
          <w:tblCellMar>
            <w:top w:w="0" w:type="dxa"/>
            <w:left w:w="108" w:type="dxa"/>
            <w:bottom w:w="0" w:type="dxa"/>
            <w:right w:w="108" w:type="dxa"/>
          </w:tblCellMar>
        </w:tblPrEx>
        <w:trPr>
          <w:trHeight w:val="135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00C291E0">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3AA05AC9">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13.电子信息</w:t>
            </w:r>
          </w:p>
        </w:tc>
        <w:tc>
          <w:tcPr>
            <w:tcW w:w="4961" w:type="dxa"/>
            <w:tcBorders>
              <w:top w:val="single" w:color="000000" w:sz="4" w:space="0"/>
              <w:left w:val="single" w:color="000000" w:sz="4" w:space="0"/>
              <w:bottom w:val="single" w:color="000000" w:sz="4" w:space="0"/>
              <w:right w:val="single" w:color="000000" w:sz="4" w:space="0"/>
            </w:tcBorders>
            <w:vAlign w:val="center"/>
          </w:tcPr>
          <w:p w14:paraId="6C6B8B69">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参照《工业领域重要数据识别指南》（YD/T4981-2024）识别。</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076A7358">
            <w:pPr>
              <w:rPr>
                <w:rFonts w:ascii="仿宋_GB2312" w:hAnsi="微软雅黑" w:eastAsia="仿宋_GB2312"/>
                <w:color w:val="000000" w:themeColor="text1"/>
                <w:sz w:val="22"/>
                <w:szCs w:val="22"/>
                <w:u w:val="none"/>
                <w14:textFill>
                  <w14:solidFill>
                    <w14:schemeClr w14:val="tx1"/>
                  </w14:solidFill>
                </w14:textFill>
              </w:rPr>
            </w:pPr>
          </w:p>
        </w:tc>
      </w:tr>
      <w:tr w14:paraId="08879382">
        <w:tblPrEx>
          <w:tblCellMar>
            <w:top w:w="0" w:type="dxa"/>
            <w:left w:w="108" w:type="dxa"/>
            <w:bottom w:w="0" w:type="dxa"/>
            <w:right w:w="108" w:type="dxa"/>
          </w:tblCellMar>
        </w:tblPrEx>
        <w:trPr>
          <w:trHeight w:val="81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3B36C278">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1B9C8497">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14.民用核设施</w:t>
            </w:r>
          </w:p>
        </w:tc>
        <w:tc>
          <w:tcPr>
            <w:tcW w:w="4961" w:type="dxa"/>
            <w:tcBorders>
              <w:top w:val="single" w:color="000000" w:sz="4" w:space="0"/>
              <w:left w:val="single" w:color="000000" w:sz="4" w:space="0"/>
              <w:bottom w:val="single" w:color="000000" w:sz="4" w:space="0"/>
              <w:right w:val="single" w:color="000000" w:sz="4" w:space="0"/>
            </w:tcBorders>
            <w:vAlign w:val="center"/>
          </w:tcPr>
          <w:p w14:paraId="7A155597">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包括民用核设施科研中的试验或测试数据，核设施相关设计和制造工艺信息，核设施运行监控数据。</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0498573E">
            <w:pPr>
              <w:rPr>
                <w:rFonts w:ascii="仿宋_GB2312" w:hAnsi="微软雅黑" w:eastAsia="仿宋_GB2312"/>
                <w:color w:val="000000" w:themeColor="text1"/>
                <w:sz w:val="22"/>
                <w:szCs w:val="22"/>
                <w:u w:val="none"/>
                <w14:textFill>
                  <w14:solidFill>
                    <w14:schemeClr w14:val="tx1"/>
                  </w14:solidFill>
                </w14:textFill>
              </w:rPr>
            </w:pPr>
          </w:p>
        </w:tc>
      </w:tr>
      <w:tr w14:paraId="54782D05">
        <w:tblPrEx>
          <w:tblCellMar>
            <w:top w:w="0" w:type="dxa"/>
            <w:left w:w="108" w:type="dxa"/>
            <w:bottom w:w="0" w:type="dxa"/>
            <w:right w:w="108" w:type="dxa"/>
          </w:tblCellMar>
        </w:tblPrEx>
        <w:trPr>
          <w:trHeight w:val="54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6D34D2D1">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6A4CEC88">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15.工业装备</w:t>
            </w:r>
          </w:p>
        </w:tc>
        <w:tc>
          <w:tcPr>
            <w:tcW w:w="4961" w:type="dxa"/>
            <w:tcBorders>
              <w:top w:val="single" w:color="000000" w:sz="4" w:space="0"/>
              <w:left w:val="single" w:color="000000" w:sz="4" w:space="0"/>
              <w:bottom w:val="single" w:color="000000" w:sz="4" w:space="0"/>
              <w:right w:val="single" w:color="000000" w:sz="4" w:space="0"/>
            </w:tcBorders>
            <w:vAlign w:val="center"/>
          </w:tcPr>
          <w:p w14:paraId="17FACD4E">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参照《工业领域重要数据识别指南》（YD/T4981-2024）识别。</w:t>
            </w:r>
          </w:p>
        </w:tc>
        <w:tc>
          <w:tcPr>
            <w:tcW w:w="5391" w:type="dxa"/>
            <w:vMerge w:val="restart"/>
            <w:tcBorders>
              <w:top w:val="single" w:color="000000" w:sz="4" w:space="0"/>
              <w:left w:val="single" w:color="000000" w:sz="4" w:space="0"/>
              <w:bottom w:val="single" w:color="000000" w:sz="4" w:space="0"/>
              <w:right w:val="single" w:color="000000" w:sz="4" w:space="0"/>
            </w:tcBorders>
            <w:vAlign w:val="center"/>
          </w:tcPr>
          <w:p w14:paraId="4D7CDE41">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关系我国科技实力、影响我国国际竞争力的汽车关键零部件研发和生产数据，如车身稳定控制系统、主动减震器系统相关研发数据。用于研发生产的智能网联汽车自动驾驶模型训练数据</w:t>
            </w:r>
            <w:r>
              <w:rPr>
                <w:rFonts w:hint="eastAsia" w:ascii="仿宋_GB2312" w:hAnsi="微软雅黑" w:eastAsia="仿宋_GB2312"/>
                <w:color w:val="000000" w:themeColor="text1"/>
                <w:sz w:val="22"/>
                <w:szCs w:val="22"/>
                <w:u w:val="none"/>
                <w:lang w:eastAsia="zh-CN"/>
                <w14:textFill>
                  <w14:solidFill>
                    <w14:schemeClr w14:val="tx1"/>
                  </w14:solidFill>
                </w14:textFill>
              </w:rPr>
              <w:t>。车辆及路侧设备联网运行过程中，收集和产生达到一定精度、一定规模、覆盖特定区域的</w:t>
            </w:r>
            <w:r>
              <w:rPr>
                <w:rFonts w:hint="eastAsia" w:ascii="仿宋_GB2312" w:hAnsi="微软雅黑" w:eastAsia="仿宋_GB2312"/>
                <w:color w:val="000000" w:themeColor="text1"/>
                <w:sz w:val="22"/>
                <w:szCs w:val="22"/>
                <w:u w:val="none"/>
                <w:lang w:val="en-US" w:eastAsia="zh-CN"/>
                <w14:textFill>
                  <w14:solidFill>
                    <w14:schemeClr w14:val="tx1"/>
                  </w14:solidFill>
                </w14:textFill>
              </w:rPr>
              <w:t>时空数据</w:t>
            </w:r>
            <w:r>
              <w:rPr>
                <w:rFonts w:hint="eastAsia" w:ascii="仿宋_GB2312" w:hAnsi="微软雅黑" w:eastAsia="仿宋_GB2312"/>
                <w:color w:val="000000" w:themeColor="text1"/>
                <w:sz w:val="22"/>
                <w:szCs w:val="22"/>
                <w:u w:val="none"/>
                <w14:textFill>
                  <w14:solidFill>
                    <w14:schemeClr w14:val="tx1"/>
                  </w14:solidFill>
                </w14:textFill>
              </w:rPr>
              <w:t>。规上工业企业使用的工业互联网或工业控制系统安全运行保障数据。</w:t>
            </w:r>
          </w:p>
        </w:tc>
      </w:tr>
      <w:tr w14:paraId="6A14FB0B">
        <w:tblPrEx>
          <w:tblCellMar>
            <w:top w:w="0" w:type="dxa"/>
            <w:left w:w="108" w:type="dxa"/>
            <w:bottom w:w="0" w:type="dxa"/>
            <w:right w:w="108" w:type="dxa"/>
          </w:tblCellMar>
        </w:tblPrEx>
        <w:trPr>
          <w:trHeight w:val="81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054FF134">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3696C494">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16.智能网联汽车</w:t>
            </w:r>
          </w:p>
        </w:tc>
        <w:tc>
          <w:tcPr>
            <w:tcW w:w="4961" w:type="dxa"/>
            <w:tcBorders>
              <w:top w:val="single" w:color="000000" w:sz="4" w:space="0"/>
              <w:left w:val="single" w:color="000000" w:sz="4" w:space="0"/>
              <w:bottom w:val="single" w:color="000000" w:sz="4" w:space="0"/>
              <w:right w:val="single" w:color="000000" w:sz="4" w:space="0"/>
            </w:tcBorders>
            <w:vAlign w:val="center"/>
          </w:tcPr>
          <w:p w14:paraId="10375317">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参照《工业领域重要数据识别指南》（YD/T4981-2024）</w:t>
            </w:r>
            <w:r>
              <w:rPr>
                <w:rFonts w:hint="eastAsia" w:ascii="仿宋_GB2312" w:hAnsi="微软雅黑" w:eastAsia="仿宋_GB2312"/>
                <w:color w:val="000000" w:themeColor="text1"/>
                <w:sz w:val="22"/>
                <w:szCs w:val="22"/>
                <w:u w:val="none"/>
                <w:lang w:eastAsia="zh-CN"/>
                <w14:textFill>
                  <w14:solidFill>
                    <w14:schemeClr w14:val="tx1"/>
                  </w14:solidFill>
                </w14:textFill>
              </w:rPr>
              <w:t>、《汽车数据出境安全指引（2026版）》</w:t>
            </w:r>
            <w:r>
              <w:rPr>
                <w:rFonts w:hint="eastAsia" w:ascii="仿宋_GB2312" w:hAnsi="微软雅黑" w:eastAsia="仿宋_GB2312"/>
                <w:color w:val="000000" w:themeColor="text1"/>
                <w:sz w:val="22"/>
                <w:szCs w:val="22"/>
                <w:u w:val="none"/>
                <w14:textFill>
                  <w14:solidFill>
                    <w14:schemeClr w14:val="tx1"/>
                  </w14:solidFill>
                </w14:textFill>
              </w:rPr>
              <w:t>识别。</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3E3CB611">
            <w:pPr>
              <w:rPr>
                <w:rFonts w:ascii="仿宋_GB2312" w:hAnsi="微软雅黑" w:eastAsia="仿宋_GB2312"/>
                <w:color w:val="000000" w:themeColor="text1"/>
                <w:sz w:val="22"/>
                <w:szCs w:val="22"/>
                <w:u w:val="none"/>
                <w14:textFill>
                  <w14:solidFill>
                    <w14:schemeClr w14:val="tx1"/>
                  </w14:solidFill>
                </w14:textFill>
              </w:rPr>
            </w:pPr>
          </w:p>
        </w:tc>
      </w:tr>
      <w:tr w14:paraId="28A54694">
        <w:tblPrEx>
          <w:tblCellMar>
            <w:top w:w="0" w:type="dxa"/>
            <w:left w:w="108" w:type="dxa"/>
            <w:bottom w:w="0" w:type="dxa"/>
            <w:right w:w="108" w:type="dxa"/>
          </w:tblCellMar>
        </w:tblPrEx>
        <w:trPr>
          <w:trHeight w:val="81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15A287BD">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204BC25E">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17.其他</w:t>
            </w:r>
          </w:p>
        </w:tc>
        <w:tc>
          <w:tcPr>
            <w:tcW w:w="4961" w:type="dxa"/>
            <w:tcBorders>
              <w:top w:val="single" w:color="000000" w:sz="4" w:space="0"/>
              <w:left w:val="single" w:color="000000" w:sz="4" w:space="0"/>
              <w:bottom w:val="single" w:color="000000" w:sz="4" w:space="0"/>
              <w:right w:val="single" w:color="000000" w:sz="4" w:space="0"/>
            </w:tcBorders>
            <w:vAlign w:val="center"/>
          </w:tcPr>
          <w:p w14:paraId="02094682">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参照《工业领域重要数据识别指南》（YD/T4981-2024）识别。</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15233807">
            <w:pPr>
              <w:rPr>
                <w:rFonts w:ascii="仿宋_GB2312" w:hAnsi="微软雅黑" w:eastAsia="仿宋_GB2312"/>
                <w:color w:val="000000" w:themeColor="text1"/>
                <w:sz w:val="22"/>
                <w:szCs w:val="22"/>
                <w:u w:val="none"/>
                <w14:textFill>
                  <w14:solidFill>
                    <w14:schemeClr w14:val="tx1"/>
                  </w14:solidFill>
                </w14:textFill>
              </w:rPr>
            </w:pPr>
          </w:p>
        </w:tc>
      </w:tr>
      <w:tr w14:paraId="0ECDD5EF">
        <w:tblPrEx>
          <w:tblCellMar>
            <w:top w:w="0" w:type="dxa"/>
            <w:left w:w="108" w:type="dxa"/>
            <w:bottom w:w="0" w:type="dxa"/>
            <w:right w:w="108" w:type="dxa"/>
          </w:tblCellMar>
        </w:tblPrEx>
        <w:trPr>
          <w:trHeight w:val="810" w:hRule="atLeast"/>
          <w:jc w:val="center"/>
        </w:trPr>
        <w:tc>
          <w:tcPr>
            <w:tcW w:w="1595" w:type="dxa"/>
            <w:tcBorders>
              <w:top w:val="single" w:color="000000" w:sz="4" w:space="0"/>
              <w:left w:val="single" w:color="000000" w:sz="4" w:space="0"/>
              <w:bottom w:val="single" w:color="000000" w:sz="4" w:space="0"/>
              <w:right w:val="single" w:color="000000" w:sz="4" w:space="0"/>
            </w:tcBorders>
            <w:vAlign w:val="center"/>
          </w:tcPr>
          <w:p w14:paraId="7D21AC86">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（四）国防科技工业类</w:t>
            </w:r>
          </w:p>
        </w:tc>
        <w:tc>
          <w:tcPr>
            <w:tcW w:w="1661" w:type="dxa"/>
            <w:tcBorders>
              <w:top w:val="single" w:color="000000" w:sz="4" w:space="0"/>
              <w:left w:val="single" w:color="000000" w:sz="4" w:space="0"/>
              <w:bottom w:val="single" w:color="000000" w:sz="4" w:space="0"/>
              <w:right w:val="single" w:color="000000" w:sz="4" w:space="0"/>
            </w:tcBorders>
            <w:vAlign w:val="center"/>
          </w:tcPr>
          <w:p w14:paraId="6D59392A">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18.国防科技工业类</w:t>
            </w:r>
          </w:p>
        </w:tc>
        <w:tc>
          <w:tcPr>
            <w:tcW w:w="4961" w:type="dxa"/>
            <w:tcBorders>
              <w:top w:val="single" w:color="000000" w:sz="4" w:space="0"/>
              <w:left w:val="single" w:color="000000" w:sz="4" w:space="0"/>
              <w:bottom w:val="single" w:color="000000" w:sz="4" w:space="0"/>
              <w:right w:val="single" w:color="000000" w:sz="4" w:space="0"/>
            </w:tcBorders>
            <w:vAlign w:val="center"/>
          </w:tcPr>
          <w:p w14:paraId="5A664657">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包括经营管理、研发设计、生产制造、试验验证、维修保障等数据。</w:t>
            </w:r>
          </w:p>
        </w:tc>
        <w:tc>
          <w:tcPr>
            <w:tcW w:w="5391" w:type="dxa"/>
            <w:tcBorders>
              <w:top w:val="single" w:color="000000" w:sz="4" w:space="0"/>
              <w:left w:val="single" w:color="000000" w:sz="4" w:space="0"/>
              <w:bottom w:val="single" w:color="000000" w:sz="4" w:space="0"/>
              <w:right w:val="single" w:color="000000" w:sz="4" w:space="0"/>
            </w:tcBorders>
            <w:vAlign w:val="center"/>
          </w:tcPr>
          <w:p w14:paraId="59ABC93F">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与国家军事、经济、科技、网络安全相关的数据，综合反映国防科技工业重要企事业单位科研与生产能力的数据，汇总后能反映国防科技工业整体情况的数据，国防科技工业领域相关特色重要数据。</w:t>
            </w:r>
          </w:p>
        </w:tc>
      </w:tr>
      <w:tr w14:paraId="4A78DC2B">
        <w:tblPrEx>
          <w:tblCellMar>
            <w:top w:w="0" w:type="dxa"/>
            <w:left w:w="108" w:type="dxa"/>
            <w:bottom w:w="0" w:type="dxa"/>
            <w:right w:w="108" w:type="dxa"/>
          </w:tblCellMar>
        </w:tblPrEx>
        <w:trPr>
          <w:trHeight w:val="810" w:hRule="atLeast"/>
          <w:jc w:val="center"/>
        </w:trPr>
        <w:tc>
          <w:tcPr>
            <w:tcW w:w="1595" w:type="dxa"/>
            <w:tcBorders>
              <w:top w:val="single" w:color="000000" w:sz="4" w:space="0"/>
              <w:left w:val="single" w:color="000000" w:sz="4" w:space="0"/>
              <w:bottom w:val="single" w:color="000000" w:sz="4" w:space="0"/>
              <w:right w:val="single" w:color="000000" w:sz="4" w:space="0"/>
            </w:tcBorders>
            <w:vAlign w:val="center"/>
          </w:tcPr>
          <w:p w14:paraId="7485534C">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（五）电信类</w:t>
            </w:r>
          </w:p>
        </w:tc>
        <w:tc>
          <w:tcPr>
            <w:tcW w:w="1661" w:type="dxa"/>
            <w:tcBorders>
              <w:top w:val="single" w:color="000000" w:sz="4" w:space="0"/>
              <w:left w:val="single" w:color="000000" w:sz="4" w:space="0"/>
              <w:bottom w:val="single" w:color="000000" w:sz="4" w:space="0"/>
              <w:right w:val="single" w:color="000000" w:sz="4" w:space="0"/>
            </w:tcBorders>
            <w:vAlign w:val="center"/>
          </w:tcPr>
          <w:p w14:paraId="6E952FA6">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19.电信</w:t>
            </w:r>
          </w:p>
        </w:tc>
        <w:tc>
          <w:tcPr>
            <w:tcW w:w="4961" w:type="dxa"/>
            <w:tcBorders>
              <w:top w:val="single" w:color="000000" w:sz="4" w:space="0"/>
              <w:left w:val="single" w:color="000000" w:sz="4" w:space="0"/>
              <w:bottom w:val="single" w:color="000000" w:sz="4" w:space="0"/>
              <w:right w:val="single" w:color="000000" w:sz="4" w:space="0"/>
            </w:tcBorders>
            <w:vAlign w:val="center"/>
          </w:tcPr>
          <w:p w14:paraId="7906D9C4">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参照《电信领域重要数据识别指南》（YD/T 3867-2024）识别。</w:t>
            </w:r>
          </w:p>
        </w:tc>
        <w:tc>
          <w:tcPr>
            <w:tcW w:w="5391" w:type="dxa"/>
            <w:tcBorders>
              <w:top w:val="single" w:color="000000" w:sz="4" w:space="0"/>
              <w:left w:val="single" w:color="000000" w:sz="4" w:space="0"/>
              <w:bottom w:val="single" w:color="000000" w:sz="4" w:space="0"/>
              <w:right w:val="single" w:color="000000" w:sz="4" w:space="0"/>
            </w:tcBorders>
            <w:noWrap/>
            <w:vAlign w:val="center"/>
          </w:tcPr>
          <w:p w14:paraId="2FA8016A">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重要网络设施和信息系统建设规划数据、性能参数数据、监测分析数据、运行维护数据、统计分析数据等。</w:t>
            </w:r>
          </w:p>
        </w:tc>
      </w:tr>
      <w:tr w14:paraId="08A37DAB">
        <w:tblPrEx>
          <w:tblCellMar>
            <w:top w:w="0" w:type="dxa"/>
            <w:left w:w="108" w:type="dxa"/>
            <w:bottom w:w="0" w:type="dxa"/>
            <w:right w:w="108" w:type="dxa"/>
          </w:tblCellMar>
        </w:tblPrEx>
        <w:trPr>
          <w:trHeight w:val="1080" w:hRule="atLeast"/>
          <w:jc w:val="center"/>
        </w:trPr>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728FED91">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（六）</w:t>
            </w:r>
            <w:r>
              <w:rPr>
                <w:rFonts w:hint="eastAsia" w:eastAsia="仿宋_GB2312"/>
                <w:color w:val="000000" w:themeColor="text1"/>
                <w:sz w:val="22"/>
                <w:szCs w:val="22"/>
                <w:u w:val="none"/>
                <w:lang w:bidi="ar"/>
                <w14:textFill>
                  <w14:solidFill>
                    <w14:schemeClr w14:val="tx1"/>
                  </w14:solidFill>
                </w14:textFill>
              </w:rPr>
              <w:t>广播电视和网络视听类</w:t>
            </w:r>
          </w:p>
        </w:tc>
        <w:tc>
          <w:tcPr>
            <w:tcW w:w="1661" w:type="dxa"/>
            <w:tcBorders>
              <w:top w:val="single" w:color="000000" w:sz="4" w:space="0"/>
              <w:left w:val="single" w:color="000000" w:sz="4" w:space="0"/>
              <w:bottom w:val="single" w:color="000000" w:sz="4" w:space="0"/>
              <w:right w:val="single" w:color="000000" w:sz="4" w:space="0"/>
            </w:tcBorders>
            <w:vAlign w:val="center"/>
          </w:tcPr>
          <w:p w14:paraId="24B6FD4D">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20.广播电视</w:t>
            </w:r>
          </w:p>
        </w:tc>
        <w:tc>
          <w:tcPr>
            <w:tcW w:w="4961" w:type="dxa"/>
            <w:tcBorders>
              <w:top w:val="single" w:color="000000" w:sz="4" w:space="0"/>
              <w:left w:val="single" w:color="000000" w:sz="4" w:space="0"/>
              <w:bottom w:val="single" w:color="000000" w:sz="4" w:space="0"/>
              <w:right w:val="single" w:color="000000" w:sz="4" w:space="0"/>
            </w:tcBorders>
            <w:vAlign w:val="center"/>
          </w:tcPr>
          <w:p w14:paraId="794D92EB">
            <w:pPr>
              <w:rPr>
                <w:rFonts w:ascii="仿宋_GB2312" w:hAnsi="微软雅黑" w:eastAsia="仿宋_GB2312"/>
                <w:color w:val="000000" w:themeColor="text1"/>
                <w:sz w:val="22"/>
                <w:szCs w:val="22"/>
                <w:u w:val="none"/>
                <w14:textFill>
                  <w14:solidFill>
                    <w14:schemeClr w14:val="tx1"/>
                  </w14:solidFill>
                </w14:textFill>
              </w:rPr>
            </w:pPr>
            <w:r>
              <w:rPr>
                <w:rFonts w:hint="eastAsia" w:eastAsia="仿宋_GB2312"/>
                <w:color w:val="000000" w:themeColor="text1"/>
                <w:sz w:val="22"/>
                <w:szCs w:val="22"/>
                <w:u w:val="none"/>
                <w:lang w:bidi="ar"/>
                <w14:textFill>
                  <w14:solidFill>
                    <w14:schemeClr w14:val="tx1"/>
                  </w14:solidFill>
                </w14:textFill>
              </w:rPr>
              <w:t>包括广播电视节目采集拍摄、制作播出、传输覆盖、分发服务、监测监管等环节处理的数据。</w:t>
            </w:r>
          </w:p>
        </w:tc>
        <w:tc>
          <w:tcPr>
            <w:tcW w:w="5391" w:type="dxa"/>
            <w:vMerge w:val="restart"/>
            <w:tcBorders>
              <w:top w:val="single" w:color="000000" w:sz="4" w:space="0"/>
              <w:left w:val="single" w:color="000000" w:sz="4" w:space="0"/>
              <w:bottom w:val="single" w:color="000000" w:sz="4" w:space="0"/>
              <w:right w:val="single" w:color="000000" w:sz="4" w:space="0"/>
            </w:tcBorders>
            <w:vAlign w:val="center"/>
          </w:tcPr>
          <w:p w14:paraId="35E4CF37">
            <w:pPr>
              <w:rPr>
                <w:rFonts w:ascii="仿宋_GB2312" w:hAnsi="微软雅黑" w:eastAsia="仿宋_GB2312"/>
                <w:color w:val="000000" w:themeColor="text1"/>
                <w:sz w:val="22"/>
                <w:szCs w:val="22"/>
                <w:u w:val="none"/>
                <w14:textFill>
                  <w14:solidFill>
                    <w14:schemeClr w14:val="tx1"/>
                  </w14:solidFill>
                </w14:textFill>
              </w:rPr>
            </w:pPr>
            <w:r>
              <w:rPr>
                <w:rFonts w:hint="eastAsia" w:eastAsia="仿宋_GB2312"/>
                <w:color w:val="000000" w:themeColor="text1"/>
                <w:sz w:val="22"/>
                <w:szCs w:val="22"/>
                <w:u w:val="none"/>
                <w:lang w:bidi="ar"/>
                <w14:textFill>
                  <w14:solidFill>
                    <w14:schemeClr w14:val="tx1"/>
                  </w14:solidFill>
                </w14:textFill>
              </w:rPr>
              <w:t>未公开的视听创作内容，被滥用可能导致意识形态安全、公共安全的视听内容，省级及以上广电机构传输覆盖数据，广电视听监测监管数据，以及广播电视行业关键信息基础设施、重要网络和信息系统规划建设数据、运行维护数据、关键资源、安全保障数据等</w:t>
            </w:r>
            <w:r>
              <w:rPr>
                <w:rFonts w:hint="eastAsia" w:ascii="仿宋_GB2312" w:hAnsi="微软雅黑" w:eastAsia="仿宋_GB2312"/>
                <w:color w:val="000000" w:themeColor="text1"/>
                <w:sz w:val="22"/>
                <w:szCs w:val="22"/>
                <w:u w:val="none"/>
                <w14:textFill>
                  <w14:solidFill>
                    <w14:schemeClr w14:val="tx1"/>
                  </w14:solidFill>
                </w14:textFill>
              </w:rPr>
              <w:t>。</w:t>
            </w:r>
          </w:p>
        </w:tc>
      </w:tr>
      <w:tr w14:paraId="084FCA43">
        <w:tblPrEx>
          <w:tblCellMar>
            <w:top w:w="0" w:type="dxa"/>
            <w:left w:w="108" w:type="dxa"/>
            <w:bottom w:w="0" w:type="dxa"/>
            <w:right w:w="108" w:type="dxa"/>
          </w:tblCellMar>
        </w:tblPrEx>
        <w:trPr>
          <w:trHeight w:val="9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542898A9">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2BD370D9">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21.</w:t>
            </w:r>
            <w:r>
              <w:rPr>
                <w:rFonts w:hint="eastAsia" w:eastAsia="仿宋_GB2312"/>
                <w:color w:val="000000" w:themeColor="text1"/>
                <w:sz w:val="22"/>
                <w:szCs w:val="22"/>
                <w:u w:val="none"/>
                <w:lang w:bidi="ar"/>
                <w14:textFill>
                  <w14:solidFill>
                    <w14:schemeClr w14:val="tx1"/>
                  </w14:solidFill>
                </w14:textFill>
              </w:rPr>
              <w:t>网络视听</w:t>
            </w:r>
          </w:p>
        </w:tc>
        <w:tc>
          <w:tcPr>
            <w:tcW w:w="4961" w:type="dxa"/>
            <w:tcBorders>
              <w:top w:val="single" w:color="000000" w:sz="4" w:space="0"/>
              <w:left w:val="single" w:color="000000" w:sz="4" w:space="0"/>
              <w:bottom w:val="single" w:color="000000" w:sz="4" w:space="0"/>
              <w:right w:val="single" w:color="000000" w:sz="4" w:space="0"/>
            </w:tcBorders>
            <w:vAlign w:val="center"/>
          </w:tcPr>
          <w:p w14:paraId="02BD493E">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eastAsia="仿宋_GB2312"/>
                <w:color w:val="000000" w:themeColor="text1"/>
                <w:sz w:val="22"/>
                <w:szCs w:val="22"/>
                <w:u w:val="none"/>
                <w:lang w:bidi="ar"/>
                <w14:textFill>
                  <w14:solidFill>
                    <w14:schemeClr w14:val="tx1"/>
                  </w14:solidFill>
                </w14:textFill>
              </w:rPr>
              <w:t>包括网络视听节目采集拍摄、制作播出、分发服务、监测监管等环节处理的数据</w:t>
            </w:r>
            <w:r>
              <w:rPr>
                <w:rFonts w:hint="eastAsia" w:ascii="仿宋_GB2312" w:hAnsi="微软雅黑" w:eastAsia="仿宋_GB2312"/>
                <w:color w:val="000000" w:themeColor="text1"/>
                <w:sz w:val="22"/>
                <w:szCs w:val="22"/>
                <w:u w:val="none"/>
                <w14:textFill>
                  <w14:solidFill>
                    <w14:schemeClr w14:val="tx1"/>
                  </w14:solidFill>
                </w14:textFill>
              </w:rPr>
              <w:t>。</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78EDB4B2">
            <w:pPr>
              <w:rPr>
                <w:rFonts w:ascii="仿宋_GB2312" w:hAnsi="微软雅黑" w:eastAsia="仿宋_GB2312"/>
                <w:color w:val="000000" w:themeColor="text1"/>
                <w:sz w:val="22"/>
                <w:szCs w:val="22"/>
                <w:u w:val="none"/>
                <w14:textFill>
                  <w14:solidFill>
                    <w14:schemeClr w14:val="tx1"/>
                  </w14:solidFill>
                </w14:textFill>
              </w:rPr>
            </w:pPr>
          </w:p>
        </w:tc>
      </w:tr>
      <w:tr w14:paraId="4D69674D">
        <w:tblPrEx>
          <w:tblCellMar>
            <w:top w:w="0" w:type="dxa"/>
            <w:left w:w="108" w:type="dxa"/>
            <w:bottom w:w="0" w:type="dxa"/>
            <w:right w:w="108" w:type="dxa"/>
          </w:tblCellMar>
        </w:tblPrEx>
        <w:trPr>
          <w:trHeight w:val="540" w:hRule="atLeast"/>
          <w:jc w:val="center"/>
        </w:trPr>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73BE1F17">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（七）金融类</w:t>
            </w:r>
          </w:p>
        </w:tc>
        <w:tc>
          <w:tcPr>
            <w:tcW w:w="1661" w:type="dxa"/>
            <w:tcBorders>
              <w:top w:val="single" w:color="000000" w:sz="4" w:space="0"/>
              <w:left w:val="single" w:color="000000" w:sz="4" w:space="0"/>
              <w:bottom w:val="single" w:color="000000" w:sz="4" w:space="0"/>
              <w:right w:val="single" w:color="000000" w:sz="4" w:space="0"/>
            </w:tcBorders>
            <w:vAlign w:val="center"/>
          </w:tcPr>
          <w:p w14:paraId="6AF6686F">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22.银行</w:t>
            </w:r>
          </w:p>
        </w:tc>
        <w:tc>
          <w:tcPr>
            <w:tcW w:w="4961" w:type="dxa"/>
            <w:tcBorders>
              <w:top w:val="single" w:color="000000" w:sz="4" w:space="0"/>
              <w:left w:val="single" w:color="000000" w:sz="4" w:space="0"/>
              <w:bottom w:val="single" w:color="000000" w:sz="4" w:space="0"/>
              <w:right w:val="single" w:color="000000" w:sz="4" w:space="0"/>
            </w:tcBorders>
            <w:vAlign w:val="center"/>
          </w:tcPr>
          <w:p w14:paraId="577F1FD4">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包括银行客户数据、业务数据、经营管理数据、系统运行和安全管理数据等。</w:t>
            </w:r>
          </w:p>
        </w:tc>
        <w:tc>
          <w:tcPr>
            <w:tcW w:w="5391" w:type="dxa"/>
            <w:vMerge w:val="restart"/>
            <w:tcBorders>
              <w:top w:val="single" w:color="000000" w:sz="4" w:space="0"/>
              <w:left w:val="single" w:color="000000" w:sz="4" w:space="0"/>
              <w:bottom w:val="single" w:color="000000" w:sz="4" w:space="0"/>
              <w:right w:val="single" w:color="000000" w:sz="4" w:space="0"/>
            </w:tcBorders>
            <w:vAlign w:val="center"/>
          </w:tcPr>
          <w:p w14:paraId="11C5107D">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银行、保险、证券期货</w:t>
            </w:r>
            <w:r>
              <w:rPr>
                <w:rFonts w:hint="eastAsia" w:ascii="仿宋_GB2312" w:hAnsi="微软雅黑" w:eastAsia="仿宋_GB2312"/>
                <w:color w:val="000000" w:themeColor="text1"/>
                <w:sz w:val="22"/>
                <w:szCs w:val="22"/>
                <w:u w:val="none"/>
                <w:lang w:eastAsia="zh-CN"/>
                <w14:textFill>
                  <w14:solidFill>
                    <w14:schemeClr w14:val="tx1"/>
                  </w14:solidFill>
                </w14:textFill>
              </w:rPr>
              <w:t>、</w:t>
            </w:r>
            <w:r>
              <w:rPr>
                <w:rFonts w:hint="eastAsia" w:ascii="仿宋_GB2312" w:hAnsi="微软雅黑" w:eastAsia="仿宋_GB2312"/>
                <w:color w:val="000000" w:themeColor="text1"/>
                <w:sz w:val="22"/>
                <w:szCs w:val="22"/>
                <w:u w:val="none"/>
                <w14:textFill>
                  <w14:solidFill>
                    <w14:schemeClr w14:val="tx1"/>
                  </w14:solidFill>
                </w14:textFill>
              </w:rPr>
              <w:t>融资租赁</w:t>
            </w:r>
            <w:r>
              <w:rPr>
                <w:rFonts w:hint="eastAsia" w:ascii="仿宋_GB2312" w:hAnsi="微软雅黑" w:eastAsia="仿宋_GB2312"/>
                <w:color w:val="000000" w:themeColor="text1"/>
                <w:sz w:val="22"/>
                <w:szCs w:val="22"/>
                <w:u w:val="none"/>
                <w:lang w:eastAsia="zh-CN"/>
                <w14:textFill>
                  <w14:solidFill>
                    <w14:schemeClr w14:val="tx1"/>
                  </w14:solidFill>
                </w14:textFill>
              </w:rPr>
              <w:t>、支付清算</w:t>
            </w:r>
            <w:r>
              <w:rPr>
                <w:rFonts w:hint="eastAsia" w:ascii="仿宋_GB2312" w:hAnsi="微软雅黑" w:eastAsia="仿宋_GB2312"/>
                <w:color w:val="000000" w:themeColor="text1"/>
                <w:sz w:val="22"/>
                <w:szCs w:val="22"/>
                <w:u w:val="none"/>
                <w14:textFill>
                  <w14:solidFill>
                    <w14:schemeClr w14:val="tx1"/>
                  </w14:solidFill>
                </w14:textFill>
              </w:rPr>
              <w:t>领域的机构安保信息，以及其处理的重要企事业单位业务数据，包括国防军工企业、关系国家安全企业的相关信息。</w:t>
            </w:r>
          </w:p>
        </w:tc>
      </w:tr>
      <w:tr w14:paraId="4BCA47DF">
        <w:tblPrEx>
          <w:tblCellMar>
            <w:top w:w="0" w:type="dxa"/>
            <w:left w:w="108" w:type="dxa"/>
            <w:bottom w:w="0" w:type="dxa"/>
            <w:right w:w="108" w:type="dxa"/>
          </w:tblCellMar>
        </w:tblPrEx>
        <w:trPr>
          <w:trHeight w:val="81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7954552A">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5066228F">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23.保险</w:t>
            </w:r>
          </w:p>
        </w:tc>
        <w:tc>
          <w:tcPr>
            <w:tcW w:w="4961" w:type="dxa"/>
            <w:tcBorders>
              <w:top w:val="single" w:color="000000" w:sz="4" w:space="0"/>
              <w:left w:val="single" w:color="000000" w:sz="4" w:space="0"/>
              <w:bottom w:val="single" w:color="000000" w:sz="4" w:space="0"/>
              <w:right w:val="single" w:color="000000" w:sz="4" w:space="0"/>
            </w:tcBorders>
            <w:vAlign w:val="center"/>
          </w:tcPr>
          <w:p w14:paraId="0AEDC0FF">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包括保险机构客户数据、业务数据、经营管理数据、系统运行和安全管理数据等。</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47C66DCB">
            <w:pPr>
              <w:rPr>
                <w:rFonts w:ascii="仿宋_GB2312" w:hAnsi="微软雅黑" w:eastAsia="仿宋_GB2312"/>
                <w:color w:val="000000" w:themeColor="text1"/>
                <w:sz w:val="22"/>
                <w:szCs w:val="22"/>
                <w:u w:val="none"/>
                <w14:textFill>
                  <w14:solidFill>
                    <w14:schemeClr w14:val="tx1"/>
                  </w14:solidFill>
                </w14:textFill>
              </w:rPr>
            </w:pPr>
          </w:p>
        </w:tc>
      </w:tr>
      <w:tr w14:paraId="1364A96D">
        <w:tblPrEx>
          <w:tblCellMar>
            <w:top w:w="0" w:type="dxa"/>
            <w:left w:w="108" w:type="dxa"/>
            <w:bottom w:w="0" w:type="dxa"/>
            <w:right w:w="108" w:type="dxa"/>
          </w:tblCellMar>
        </w:tblPrEx>
        <w:trPr>
          <w:trHeight w:val="54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42105C86">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56F3495D">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24.证券期货</w:t>
            </w:r>
          </w:p>
        </w:tc>
        <w:tc>
          <w:tcPr>
            <w:tcW w:w="4961" w:type="dxa"/>
            <w:tcBorders>
              <w:top w:val="single" w:color="000000" w:sz="4" w:space="0"/>
              <w:left w:val="single" w:color="000000" w:sz="4" w:space="0"/>
              <w:bottom w:val="single" w:color="000000" w:sz="4" w:space="0"/>
              <w:right w:val="single" w:color="000000" w:sz="4" w:space="0"/>
            </w:tcBorders>
            <w:vAlign w:val="center"/>
          </w:tcPr>
          <w:p w14:paraId="6EDB809D">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包括投资者类数据、技术类数据、业务类数据等。</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3CCF2E43">
            <w:pPr>
              <w:rPr>
                <w:rFonts w:ascii="仿宋_GB2312" w:hAnsi="微软雅黑" w:eastAsia="仿宋_GB2312"/>
                <w:color w:val="000000" w:themeColor="text1"/>
                <w:sz w:val="22"/>
                <w:szCs w:val="22"/>
                <w:u w:val="none"/>
                <w14:textFill>
                  <w14:solidFill>
                    <w14:schemeClr w14:val="tx1"/>
                  </w14:solidFill>
                </w14:textFill>
              </w:rPr>
            </w:pPr>
          </w:p>
        </w:tc>
      </w:tr>
      <w:tr w14:paraId="1D8ED17B">
        <w:tblPrEx>
          <w:tblCellMar>
            <w:top w:w="0" w:type="dxa"/>
            <w:left w:w="108" w:type="dxa"/>
            <w:bottom w:w="0" w:type="dxa"/>
            <w:right w:w="108" w:type="dxa"/>
          </w:tblCellMar>
        </w:tblPrEx>
        <w:trPr>
          <w:trHeight w:val="54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64A5DAC2">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35305319">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25.融资租赁</w:t>
            </w:r>
          </w:p>
        </w:tc>
        <w:tc>
          <w:tcPr>
            <w:tcW w:w="4961" w:type="dxa"/>
            <w:tcBorders>
              <w:top w:val="single" w:color="000000" w:sz="4" w:space="0"/>
              <w:left w:val="single" w:color="000000" w:sz="4" w:space="0"/>
              <w:bottom w:val="single" w:color="000000" w:sz="4" w:space="0"/>
              <w:right w:val="single" w:color="000000" w:sz="4" w:space="0"/>
            </w:tcBorders>
            <w:vAlign w:val="center"/>
          </w:tcPr>
          <w:p w14:paraId="5402DE56">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包括客户数据、企业交易数据、经营管理数据等。</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750234CE">
            <w:pPr>
              <w:rPr>
                <w:rFonts w:ascii="仿宋_GB2312" w:hAnsi="微软雅黑" w:eastAsia="仿宋_GB2312"/>
                <w:color w:val="000000" w:themeColor="text1"/>
                <w:sz w:val="22"/>
                <w:szCs w:val="22"/>
                <w:u w:val="none"/>
                <w14:textFill>
                  <w14:solidFill>
                    <w14:schemeClr w14:val="tx1"/>
                  </w14:solidFill>
                </w14:textFill>
              </w:rPr>
            </w:pPr>
          </w:p>
        </w:tc>
      </w:tr>
      <w:tr w14:paraId="7BCDA899">
        <w:tblPrEx>
          <w:tblCellMar>
            <w:top w:w="0" w:type="dxa"/>
            <w:left w:w="108" w:type="dxa"/>
            <w:bottom w:w="0" w:type="dxa"/>
            <w:right w:w="108" w:type="dxa"/>
          </w:tblCellMar>
        </w:tblPrEx>
        <w:trPr>
          <w:trHeight w:val="1080" w:hRule="atLeast"/>
          <w:jc w:val="center"/>
        </w:trPr>
        <w:tc>
          <w:tcPr>
            <w:tcW w:w="1595" w:type="dxa"/>
            <w:tcBorders>
              <w:top w:val="single" w:color="000000" w:sz="4" w:space="0"/>
              <w:left w:val="single" w:color="000000" w:sz="4" w:space="0"/>
              <w:bottom w:val="single" w:color="000000" w:sz="4" w:space="0"/>
              <w:right w:val="single" w:color="000000" w:sz="4" w:space="0"/>
            </w:tcBorders>
            <w:vAlign w:val="center"/>
          </w:tcPr>
          <w:p w14:paraId="3739E010">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（八）交通运输类</w:t>
            </w:r>
          </w:p>
        </w:tc>
        <w:tc>
          <w:tcPr>
            <w:tcW w:w="1661" w:type="dxa"/>
            <w:tcBorders>
              <w:top w:val="single" w:color="000000" w:sz="4" w:space="0"/>
              <w:left w:val="single" w:color="000000" w:sz="4" w:space="0"/>
              <w:bottom w:val="single" w:color="000000" w:sz="4" w:space="0"/>
              <w:right w:val="single" w:color="000000" w:sz="4" w:space="0"/>
            </w:tcBorders>
            <w:vAlign w:val="center"/>
          </w:tcPr>
          <w:p w14:paraId="047104B6">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26.交通</w:t>
            </w:r>
          </w:p>
        </w:tc>
        <w:tc>
          <w:tcPr>
            <w:tcW w:w="4961" w:type="dxa"/>
            <w:tcBorders>
              <w:top w:val="single" w:color="000000" w:sz="4" w:space="0"/>
              <w:left w:val="single" w:color="000000" w:sz="4" w:space="0"/>
              <w:bottom w:val="single" w:color="000000" w:sz="4" w:space="0"/>
              <w:right w:val="single" w:color="000000" w:sz="4" w:space="0"/>
            </w:tcBorders>
            <w:vAlign w:val="center"/>
          </w:tcPr>
          <w:p w14:paraId="7CCFCE3E">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包括铁路交通、公路交通、道路运输、城市交通、水路交通、民用航空、邮政管理、综合管理等数据。</w:t>
            </w:r>
          </w:p>
        </w:tc>
        <w:tc>
          <w:tcPr>
            <w:tcW w:w="5391" w:type="dxa"/>
            <w:tcBorders>
              <w:top w:val="single" w:color="000000" w:sz="4" w:space="0"/>
              <w:left w:val="single" w:color="000000" w:sz="4" w:space="0"/>
              <w:bottom w:val="single" w:color="000000" w:sz="4" w:space="0"/>
              <w:right w:val="single" w:color="000000" w:sz="4" w:space="0"/>
            </w:tcBorders>
            <w:vAlign w:val="center"/>
          </w:tcPr>
          <w:p w14:paraId="55C4DEBD">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铁路交通、公路交通、道路运输、城市交通、水路交通、民用航空、邮政管理等领域影响生产安全</w:t>
            </w:r>
            <w:r>
              <w:rPr>
                <w:rFonts w:hint="eastAsia" w:ascii="仿宋_GB2312" w:hAnsi="微软雅黑" w:eastAsia="仿宋_GB2312"/>
                <w:color w:val="000000" w:themeColor="text1"/>
                <w:sz w:val="22"/>
                <w:szCs w:val="22"/>
                <w:u w:val="none"/>
                <w:lang w:eastAsia="zh-CN"/>
                <w14:textFill>
                  <w14:solidFill>
                    <w14:schemeClr w14:val="tx1"/>
                  </w14:solidFill>
                </w14:textFill>
              </w:rPr>
              <w:t>、</w:t>
            </w:r>
            <w:r>
              <w:rPr>
                <w:rFonts w:hint="eastAsia" w:ascii="仿宋_GB2312" w:hAnsi="微软雅黑" w:eastAsia="仿宋_GB2312"/>
                <w:color w:val="000000" w:themeColor="text1"/>
                <w:sz w:val="22"/>
                <w:szCs w:val="22"/>
                <w:u w:val="none"/>
                <w:lang w:val="en-US" w:eastAsia="zh-CN"/>
                <w14:textFill>
                  <w14:solidFill>
                    <w14:schemeClr w14:val="tx1"/>
                  </w14:solidFill>
                </w14:textFill>
              </w:rPr>
              <w:t>供应链安全</w:t>
            </w:r>
            <w:r>
              <w:rPr>
                <w:rFonts w:hint="eastAsia" w:ascii="仿宋_GB2312" w:hAnsi="微软雅黑" w:eastAsia="仿宋_GB2312"/>
                <w:color w:val="000000" w:themeColor="text1"/>
                <w:sz w:val="22"/>
                <w:szCs w:val="22"/>
                <w:u w:val="none"/>
                <w14:textFill>
                  <w14:solidFill>
                    <w14:schemeClr w14:val="tx1"/>
                  </w14:solidFill>
                </w14:textFill>
              </w:rPr>
              <w:t>的数据、施工建设过程中获取的自然资源类数据、未公开的线路图、关键站点等数据，以及被泄露、篡改可能造成重大交通事故的数据。</w:t>
            </w:r>
          </w:p>
        </w:tc>
      </w:tr>
      <w:tr w14:paraId="671A16A6">
        <w:tblPrEx>
          <w:tblCellMar>
            <w:top w:w="0" w:type="dxa"/>
            <w:left w:w="108" w:type="dxa"/>
            <w:bottom w:w="0" w:type="dxa"/>
            <w:right w:w="108" w:type="dxa"/>
          </w:tblCellMar>
        </w:tblPrEx>
        <w:trPr>
          <w:trHeight w:val="540" w:hRule="atLeast"/>
          <w:jc w:val="center"/>
        </w:trPr>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2B245C69">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（九）卫生健康和食品药品类</w:t>
            </w:r>
          </w:p>
        </w:tc>
        <w:tc>
          <w:tcPr>
            <w:tcW w:w="1661" w:type="dxa"/>
            <w:tcBorders>
              <w:top w:val="single" w:color="000000" w:sz="4" w:space="0"/>
              <w:left w:val="single" w:color="000000" w:sz="4" w:space="0"/>
              <w:bottom w:val="single" w:color="000000" w:sz="4" w:space="0"/>
              <w:right w:val="single" w:color="000000" w:sz="4" w:space="0"/>
            </w:tcBorders>
            <w:vAlign w:val="center"/>
          </w:tcPr>
          <w:p w14:paraId="6B7FBD2E">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27.遗传资源</w:t>
            </w:r>
          </w:p>
        </w:tc>
        <w:tc>
          <w:tcPr>
            <w:tcW w:w="4961" w:type="dxa"/>
            <w:tcBorders>
              <w:top w:val="single" w:color="000000" w:sz="4" w:space="0"/>
              <w:left w:val="single" w:color="000000" w:sz="4" w:space="0"/>
              <w:bottom w:val="single" w:color="000000" w:sz="4" w:space="0"/>
              <w:right w:val="single" w:color="000000" w:sz="4" w:space="0"/>
            </w:tcBorders>
            <w:vAlign w:val="center"/>
          </w:tcPr>
          <w:p w14:paraId="5FDAFB40">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包括自然人基因数据、人类遗传资源信息等与种族、群体健康相关的数据。</w:t>
            </w:r>
          </w:p>
        </w:tc>
        <w:tc>
          <w:tcPr>
            <w:tcW w:w="5391" w:type="dxa"/>
            <w:vMerge w:val="restart"/>
            <w:tcBorders>
              <w:top w:val="single" w:color="000000" w:sz="4" w:space="0"/>
              <w:left w:val="single" w:color="000000" w:sz="4" w:space="0"/>
              <w:bottom w:val="single" w:color="000000" w:sz="4" w:space="0"/>
              <w:right w:val="single" w:color="000000" w:sz="4" w:space="0"/>
            </w:tcBorders>
            <w:vAlign w:val="center"/>
          </w:tcPr>
          <w:p w14:paraId="4C1411AF">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反映种族整体情况或关系生物安全的遗传资源数据，关系国家安全、生命安全、人类自身安全的食品、药品、生物安全和疾控数据。特定领域、特定群体、特定区域或达到一定精度和规模的涉及人民群众生命健康和安全的医疗领域诊疗数据。</w:t>
            </w:r>
          </w:p>
        </w:tc>
      </w:tr>
      <w:tr w14:paraId="0E1D99F9">
        <w:tblPrEx>
          <w:tblCellMar>
            <w:top w:w="0" w:type="dxa"/>
            <w:left w:w="108" w:type="dxa"/>
            <w:bottom w:w="0" w:type="dxa"/>
            <w:right w:w="108" w:type="dxa"/>
          </w:tblCellMar>
        </w:tblPrEx>
        <w:trPr>
          <w:trHeight w:val="135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349C9146">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1676BBA9">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28.健康医疗</w:t>
            </w:r>
          </w:p>
        </w:tc>
        <w:tc>
          <w:tcPr>
            <w:tcW w:w="4961" w:type="dxa"/>
            <w:tcBorders>
              <w:top w:val="single" w:color="000000" w:sz="4" w:space="0"/>
              <w:left w:val="single" w:color="000000" w:sz="4" w:space="0"/>
              <w:bottom w:val="single" w:color="000000" w:sz="4" w:space="0"/>
              <w:right w:val="single" w:color="000000" w:sz="4" w:space="0"/>
            </w:tcBorders>
            <w:vAlign w:val="center"/>
          </w:tcPr>
          <w:p w14:paraId="1BB1D0B2">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包括医疗服务、电子病历、电子健康档案、医学研究等各类数据，健康数据、医疗救援保障数据、特定药品实验数据等，或对患者健康医疗数据的开发利用结果。</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3BCC94DE">
            <w:pPr>
              <w:rPr>
                <w:rFonts w:ascii="仿宋_GB2312" w:hAnsi="微软雅黑" w:eastAsia="仿宋_GB2312"/>
                <w:color w:val="000000" w:themeColor="text1"/>
                <w:sz w:val="22"/>
                <w:szCs w:val="22"/>
                <w:u w:val="none"/>
                <w14:textFill>
                  <w14:solidFill>
                    <w14:schemeClr w14:val="tx1"/>
                  </w14:solidFill>
                </w14:textFill>
              </w:rPr>
            </w:pPr>
          </w:p>
        </w:tc>
      </w:tr>
      <w:tr w14:paraId="656CAF8D">
        <w:tblPrEx>
          <w:tblCellMar>
            <w:top w:w="0" w:type="dxa"/>
            <w:left w:w="108" w:type="dxa"/>
            <w:bottom w:w="0" w:type="dxa"/>
            <w:right w:w="108" w:type="dxa"/>
          </w:tblCellMar>
        </w:tblPrEx>
        <w:trPr>
          <w:trHeight w:val="54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6FE1E519">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6760CC95">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29.食品</w:t>
            </w:r>
          </w:p>
        </w:tc>
        <w:tc>
          <w:tcPr>
            <w:tcW w:w="4961" w:type="dxa"/>
            <w:tcBorders>
              <w:top w:val="single" w:color="000000" w:sz="4" w:space="0"/>
              <w:left w:val="single" w:color="000000" w:sz="4" w:space="0"/>
              <w:bottom w:val="single" w:color="000000" w:sz="4" w:space="0"/>
              <w:right w:val="single" w:color="000000" w:sz="4" w:space="0"/>
            </w:tcBorders>
            <w:vAlign w:val="center"/>
          </w:tcPr>
          <w:p w14:paraId="0BDD0616">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包括食品安全溯源标识数据，食品生产中自动控制系统的参数和控制类数据。</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1FAF318D">
            <w:pPr>
              <w:rPr>
                <w:rFonts w:ascii="仿宋_GB2312" w:hAnsi="微软雅黑" w:eastAsia="仿宋_GB2312"/>
                <w:color w:val="000000" w:themeColor="text1"/>
                <w:sz w:val="22"/>
                <w:szCs w:val="22"/>
                <w:u w:val="none"/>
                <w14:textFill>
                  <w14:solidFill>
                    <w14:schemeClr w14:val="tx1"/>
                  </w14:solidFill>
                </w14:textFill>
              </w:rPr>
            </w:pPr>
          </w:p>
        </w:tc>
      </w:tr>
      <w:tr w14:paraId="42583DCA">
        <w:tblPrEx>
          <w:tblCellMar>
            <w:top w:w="0" w:type="dxa"/>
            <w:left w:w="108" w:type="dxa"/>
            <w:bottom w:w="0" w:type="dxa"/>
            <w:right w:w="108" w:type="dxa"/>
          </w:tblCellMar>
        </w:tblPrEx>
        <w:trPr>
          <w:trHeight w:val="81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1D7861AD">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6403DF4A">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30.药品</w:t>
            </w:r>
          </w:p>
        </w:tc>
        <w:tc>
          <w:tcPr>
            <w:tcW w:w="4961" w:type="dxa"/>
            <w:tcBorders>
              <w:top w:val="single" w:color="000000" w:sz="4" w:space="0"/>
              <w:left w:val="single" w:color="000000" w:sz="4" w:space="0"/>
              <w:bottom w:val="single" w:color="000000" w:sz="4" w:space="0"/>
              <w:right w:val="single" w:color="000000" w:sz="4" w:space="0"/>
            </w:tcBorders>
            <w:vAlign w:val="center"/>
          </w:tcPr>
          <w:p w14:paraId="45F724A4">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包括药品供应、药品审批过程中提交的实验数据，以及与药品生产流程、生产设施有关的试验数据。</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37268F0A">
            <w:pPr>
              <w:rPr>
                <w:rFonts w:ascii="仿宋_GB2312" w:hAnsi="微软雅黑" w:eastAsia="仿宋_GB2312"/>
                <w:color w:val="000000" w:themeColor="text1"/>
                <w:sz w:val="22"/>
                <w:szCs w:val="22"/>
                <w:u w:val="none"/>
                <w14:textFill>
                  <w14:solidFill>
                    <w14:schemeClr w14:val="tx1"/>
                  </w14:solidFill>
                </w14:textFill>
              </w:rPr>
            </w:pPr>
          </w:p>
        </w:tc>
      </w:tr>
      <w:tr w14:paraId="28995758">
        <w:tblPrEx>
          <w:tblCellMar>
            <w:top w:w="0" w:type="dxa"/>
            <w:left w:w="108" w:type="dxa"/>
            <w:bottom w:w="0" w:type="dxa"/>
            <w:right w:w="108" w:type="dxa"/>
          </w:tblCellMar>
        </w:tblPrEx>
        <w:trPr>
          <w:trHeight w:val="27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38417941">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7B9E49E9">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31.生物安全</w:t>
            </w:r>
          </w:p>
        </w:tc>
        <w:tc>
          <w:tcPr>
            <w:tcW w:w="4961" w:type="dxa"/>
            <w:tcBorders>
              <w:top w:val="single" w:color="000000" w:sz="4" w:space="0"/>
              <w:left w:val="single" w:color="000000" w:sz="4" w:space="0"/>
              <w:bottom w:val="single" w:color="000000" w:sz="4" w:space="0"/>
              <w:right w:val="single" w:color="000000" w:sz="4" w:space="0"/>
            </w:tcBorders>
            <w:vAlign w:val="center"/>
          </w:tcPr>
          <w:p w14:paraId="26DE9F06">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包括病毒研究或生物实验室相关数据。</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1A6CA1F6">
            <w:pPr>
              <w:rPr>
                <w:rFonts w:ascii="仿宋_GB2312" w:hAnsi="微软雅黑" w:eastAsia="仿宋_GB2312"/>
                <w:color w:val="000000" w:themeColor="text1"/>
                <w:sz w:val="22"/>
                <w:szCs w:val="22"/>
                <w:u w:val="none"/>
                <w14:textFill>
                  <w14:solidFill>
                    <w14:schemeClr w14:val="tx1"/>
                  </w14:solidFill>
                </w14:textFill>
              </w:rPr>
            </w:pPr>
          </w:p>
        </w:tc>
      </w:tr>
      <w:tr w14:paraId="1589D295">
        <w:tblPrEx>
          <w:tblCellMar>
            <w:top w:w="0" w:type="dxa"/>
            <w:left w:w="108" w:type="dxa"/>
            <w:bottom w:w="0" w:type="dxa"/>
            <w:right w:w="108" w:type="dxa"/>
          </w:tblCellMar>
        </w:tblPrEx>
        <w:trPr>
          <w:trHeight w:val="957"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3CE57A07">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039056CB">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32.疾控数据</w:t>
            </w:r>
          </w:p>
        </w:tc>
        <w:tc>
          <w:tcPr>
            <w:tcW w:w="4961" w:type="dxa"/>
            <w:tcBorders>
              <w:top w:val="single" w:color="000000" w:sz="4" w:space="0"/>
              <w:left w:val="single" w:color="000000" w:sz="4" w:space="0"/>
              <w:bottom w:val="single" w:color="000000" w:sz="4" w:space="0"/>
              <w:right w:val="single" w:color="000000" w:sz="4" w:space="0"/>
            </w:tcBorders>
            <w:vAlign w:val="center"/>
          </w:tcPr>
          <w:p w14:paraId="64528F03">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包括突发公共卫生事件及与传染病相关的疫情、治疗、疫苗、死因等数据。</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2B62A358">
            <w:pPr>
              <w:rPr>
                <w:rFonts w:ascii="仿宋_GB2312" w:hAnsi="微软雅黑" w:eastAsia="仿宋_GB2312"/>
                <w:color w:val="000000" w:themeColor="text1"/>
                <w:sz w:val="22"/>
                <w:szCs w:val="22"/>
                <w:u w:val="none"/>
                <w14:textFill>
                  <w14:solidFill>
                    <w14:schemeClr w14:val="tx1"/>
                  </w14:solidFill>
                </w14:textFill>
              </w:rPr>
            </w:pPr>
          </w:p>
        </w:tc>
      </w:tr>
      <w:tr w14:paraId="40893639">
        <w:tblPrEx>
          <w:tblCellMar>
            <w:top w:w="0" w:type="dxa"/>
            <w:left w:w="108" w:type="dxa"/>
            <w:bottom w:w="0" w:type="dxa"/>
            <w:right w:w="108" w:type="dxa"/>
          </w:tblCellMar>
        </w:tblPrEx>
        <w:trPr>
          <w:trHeight w:val="488" w:hRule="atLeast"/>
          <w:jc w:val="center"/>
        </w:trPr>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5FC12778">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（十）公共安全类</w:t>
            </w:r>
          </w:p>
        </w:tc>
        <w:tc>
          <w:tcPr>
            <w:tcW w:w="1661" w:type="dxa"/>
            <w:tcBorders>
              <w:top w:val="single" w:color="000000" w:sz="4" w:space="0"/>
              <w:left w:val="single" w:color="000000" w:sz="4" w:space="0"/>
              <w:bottom w:val="single" w:color="000000" w:sz="4" w:space="0"/>
              <w:right w:val="single" w:color="000000" w:sz="4" w:space="0"/>
            </w:tcBorders>
            <w:vAlign w:val="center"/>
          </w:tcPr>
          <w:p w14:paraId="6B841A61">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33.物理安全</w:t>
            </w:r>
          </w:p>
        </w:tc>
        <w:tc>
          <w:tcPr>
            <w:tcW w:w="4961" w:type="dxa"/>
            <w:tcBorders>
              <w:top w:val="single" w:color="000000" w:sz="4" w:space="0"/>
              <w:left w:val="single" w:color="000000" w:sz="4" w:space="0"/>
              <w:bottom w:val="single" w:color="000000" w:sz="4" w:space="0"/>
              <w:right w:val="single" w:color="000000" w:sz="4" w:space="0"/>
            </w:tcBorders>
            <w:vAlign w:val="center"/>
          </w:tcPr>
          <w:p w14:paraId="29D65F55">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包括建筑基础数据、安保装备数据等。</w:t>
            </w:r>
          </w:p>
        </w:tc>
        <w:tc>
          <w:tcPr>
            <w:tcW w:w="5391" w:type="dxa"/>
            <w:vMerge w:val="restart"/>
            <w:tcBorders>
              <w:top w:val="single" w:color="000000" w:sz="4" w:space="0"/>
              <w:left w:val="single" w:color="000000" w:sz="4" w:space="0"/>
              <w:bottom w:val="single" w:color="000000" w:sz="4" w:space="0"/>
              <w:right w:val="single" w:color="000000" w:sz="4" w:space="0"/>
            </w:tcBorders>
            <w:vAlign w:val="center"/>
          </w:tcPr>
          <w:p w14:paraId="56087C92">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一旦遭到非法利用，可能给社会稳定造成严重危害的重要目标基础数据、安保装备数据、敏感场所安保部署数据；关键信息基础设施或重要网络规划、安全运行数据。</w:t>
            </w:r>
          </w:p>
        </w:tc>
      </w:tr>
      <w:tr w14:paraId="10E59E69">
        <w:tblPrEx>
          <w:tblCellMar>
            <w:top w:w="0" w:type="dxa"/>
            <w:left w:w="108" w:type="dxa"/>
            <w:bottom w:w="0" w:type="dxa"/>
            <w:right w:w="108" w:type="dxa"/>
          </w:tblCellMar>
        </w:tblPrEx>
        <w:trPr>
          <w:trHeight w:val="810"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47143A4F">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52936DD0">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34.网络安全</w:t>
            </w:r>
          </w:p>
        </w:tc>
        <w:tc>
          <w:tcPr>
            <w:tcW w:w="4961" w:type="dxa"/>
            <w:tcBorders>
              <w:top w:val="single" w:color="000000" w:sz="4" w:space="0"/>
              <w:left w:val="single" w:color="000000" w:sz="4" w:space="0"/>
              <w:bottom w:val="single" w:color="000000" w:sz="4" w:space="0"/>
              <w:right w:val="single" w:color="000000" w:sz="4" w:space="0"/>
            </w:tcBorders>
            <w:vAlign w:val="center"/>
          </w:tcPr>
          <w:p w14:paraId="744BC266">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包括北京“两区”企业信息系统设计运行数据、网络设施拓扑架构数据、安全保障数据等。</w:t>
            </w:r>
          </w:p>
        </w:tc>
        <w:tc>
          <w:tcPr>
            <w:tcW w:w="5391" w:type="dxa"/>
            <w:vMerge w:val="continue"/>
            <w:tcBorders>
              <w:top w:val="single" w:color="000000" w:sz="4" w:space="0"/>
              <w:left w:val="single" w:color="000000" w:sz="4" w:space="0"/>
              <w:bottom w:val="single" w:color="000000" w:sz="4" w:space="0"/>
              <w:right w:val="single" w:color="000000" w:sz="4" w:space="0"/>
            </w:tcBorders>
            <w:vAlign w:val="center"/>
          </w:tcPr>
          <w:p w14:paraId="61F107EB">
            <w:pPr>
              <w:rPr>
                <w:rFonts w:ascii="仿宋_GB2312" w:hAnsi="微软雅黑" w:eastAsia="仿宋_GB2312"/>
                <w:color w:val="000000" w:themeColor="text1"/>
                <w:sz w:val="22"/>
                <w:szCs w:val="22"/>
                <w:u w:val="none"/>
                <w14:textFill>
                  <w14:solidFill>
                    <w14:schemeClr w14:val="tx1"/>
                  </w14:solidFill>
                </w14:textFill>
              </w:rPr>
            </w:pPr>
          </w:p>
        </w:tc>
      </w:tr>
      <w:tr w14:paraId="169440BA">
        <w:tblPrEx>
          <w:tblCellMar>
            <w:top w:w="0" w:type="dxa"/>
            <w:left w:w="108" w:type="dxa"/>
            <w:bottom w:w="0" w:type="dxa"/>
            <w:right w:w="108" w:type="dxa"/>
          </w:tblCellMar>
        </w:tblPrEx>
        <w:trPr>
          <w:trHeight w:val="1174" w:hRule="atLeast"/>
          <w:jc w:val="center"/>
        </w:trPr>
        <w:tc>
          <w:tcPr>
            <w:tcW w:w="1595" w:type="dxa"/>
            <w:vMerge w:val="restart"/>
            <w:tcBorders>
              <w:top w:val="single" w:color="000000" w:sz="4" w:space="0"/>
              <w:left w:val="single" w:color="000000" w:sz="4" w:space="0"/>
              <w:right w:val="single" w:color="000000" w:sz="4" w:space="0"/>
            </w:tcBorders>
            <w:vAlign w:val="center"/>
          </w:tcPr>
          <w:p w14:paraId="056E5784">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（十一）互联网服务和电子商务类</w:t>
            </w:r>
          </w:p>
        </w:tc>
        <w:tc>
          <w:tcPr>
            <w:tcW w:w="1661" w:type="dxa"/>
            <w:tcBorders>
              <w:top w:val="single" w:color="000000" w:sz="4" w:space="0"/>
              <w:left w:val="single" w:color="000000" w:sz="4" w:space="0"/>
              <w:right w:val="single" w:color="000000" w:sz="4" w:space="0"/>
            </w:tcBorders>
            <w:vAlign w:val="center"/>
          </w:tcPr>
          <w:p w14:paraId="4DE92470">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35.互联网平台服务</w:t>
            </w:r>
          </w:p>
        </w:tc>
        <w:tc>
          <w:tcPr>
            <w:tcW w:w="4961" w:type="dxa"/>
            <w:tcBorders>
              <w:top w:val="single" w:color="000000" w:sz="4" w:space="0"/>
              <w:left w:val="single" w:color="000000" w:sz="4" w:space="0"/>
              <w:bottom w:val="single" w:color="000000" w:sz="4" w:space="0"/>
              <w:right w:val="single" w:color="000000" w:sz="4" w:space="0"/>
            </w:tcBorders>
            <w:vAlign w:val="center"/>
          </w:tcPr>
          <w:p w14:paraId="48C951C0">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包括提供互联网服务过程中产生的各类数据。</w:t>
            </w:r>
          </w:p>
        </w:tc>
        <w:tc>
          <w:tcPr>
            <w:tcW w:w="5391" w:type="dxa"/>
            <w:vMerge w:val="restart"/>
            <w:tcBorders>
              <w:top w:val="single" w:color="000000" w:sz="4" w:space="0"/>
              <w:left w:val="single" w:color="000000" w:sz="4" w:space="0"/>
              <w:right w:val="single" w:color="000000" w:sz="4" w:space="0"/>
            </w:tcBorders>
            <w:vAlign w:val="center"/>
          </w:tcPr>
          <w:p w14:paraId="74367A12">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在提供互联网服务过程中产生的可用来实施社会动员的数据，相关退伍人员等敏感人群数字画像数据，对军工、政府类客户记录和跟踪的数据。可能影响国家安全和社会公共利益的人工智能训练数据、算法源代码、关键组件数据、控制程序等数据。</w:t>
            </w:r>
          </w:p>
        </w:tc>
      </w:tr>
      <w:tr w14:paraId="70347345">
        <w:tblPrEx>
          <w:tblCellMar>
            <w:top w:w="0" w:type="dxa"/>
            <w:left w:w="108" w:type="dxa"/>
            <w:bottom w:w="0" w:type="dxa"/>
            <w:right w:w="108" w:type="dxa"/>
          </w:tblCellMar>
        </w:tblPrEx>
        <w:trPr>
          <w:trHeight w:val="540" w:hRule="atLeast"/>
          <w:jc w:val="center"/>
        </w:trPr>
        <w:tc>
          <w:tcPr>
            <w:tcW w:w="1595" w:type="dxa"/>
            <w:vMerge w:val="continue"/>
            <w:tcBorders>
              <w:left w:val="single" w:color="000000" w:sz="4" w:space="0"/>
              <w:bottom w:val="single" w:color="000000" w:sz="4" w:space="0"/>
              <w:right w:val="single" w:color="000000" w:sz="4" w:space="0"/>
            </w:tcBorders>
            <w:vAlign w:val="center"/>
          </w:tcPr>
          <w:p w14:paraId="0C60D0E7">
            <w:pPr>
              <w:rPr>
                <w:rFonts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1075F6F1">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ascii="仿宋_GB2312" w:hAnsi="微软雅黑" w:eastAsia="仿宋_GB2312"/>
                <w:color w:val="000000" w:themeColor="text1"/>
                <w:sz w:val="22"/>
                <w:szCs w:val="22"/>
                <w:u w:val="none"/>
                <w14:textFill>
                  <w14:solidFill>
                    <w14:schemeClr w14:val="tx1"/>
                  </w14:solidFill>
                </w14:textFill>
              </w:rPr>
              <w:t>3</w:t>
            </w:r>
            <w:r>
              <w:rPr>
                <w:rFonts w:hint="eastAsia" w:ascii="仿宋_GB2312" w:hAnsi="微软雅黑" w:eastAsia="仿宋_GB2312"/>
                <w:color w:val="000000" w:themeColor="text1"/>
                <w:sz w:val="22"/>
                <w:szCs w:val="22"/>
                <w:u w:val="none"/>
                <w14:textFill>
                  <w14:solidFill>
                    <w14:schemeClr w14:val="tx1"/>
                  </w14:solidFill>
                </w14:textFill>
              </w:rPr>
              <w:t>6</w:t>
            </w:r>
            <w:r>
              <w:rPr>
                <w:rFonts w:ascii="仿宋_GB2312" w:hAnsi="微软雅黑" w:eastAsia="仿宋_GB2312"/>
                <w:color w:val="000000" w:themeColor="text1"/>
                <w:sz w:val="22"/>
                <w:szCs w:val="22"/>
                <w:u w:val="none"/>
                <w14:textFill>
                  <w14:solidFill>
                    <w14:schemeClr w14:val="tx1"/>
                  </w14:solidFill>
                </w14:textFill>
              </w:rPr>
              <w:t>.</w:t>
            </w:r>
            <w:r>
              <w:rPr>
                <w:rFonts w:hint="eastAsia" w:eastAsia="仿宋_GB2312"/>
                <w:color w:val="000000" w:themeColor="text1"/>
                <w:sz w:val="22"/>
                <w:szCs w:val="22"/>
                <w:u w:val="none"/>
                <w:lang w:bidi="ar"/>
                <w14:textFill>
                  <w14:solidFill>
                    <w14:schemeClr w14:val="tx1"/>
                  </w14:solidFill>
                </w14:textFill>
              </w:rPr>
              <w:t>人工智能服务</w:t>
            </w:r>
          </w:p>
        </w:tc>
        <w:tc>
          <w:tcPr>
            <w:tcW w:w="4961" w:type="dxa"/>
            <w:tcBorders>
              <w:top w:val="single" w:color="000000" w:sz="4" w:space="0"/>
              <w:left w:val="single" w:color="000000" w:sz="4" w:space="0"/>
              <w:bottom w:val="single" w:color="000000" w:sz="4" w:space="0"/>
              <w:right w:val="single" w:color="000000" w:sz="4" w:space="0"/>
            </w:tcBorders>
            <w:vAlign w:val="center"/>
          </w:tcPr>
          <w:p w14:paraId="4742CC85">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包括人工智能训练数据、算法源代码、关键组件数据、控制程序等数据。</w:t>
            </w:r>
          </w:p>
        </w:tc>
        <w:tc>
          <w:tcPr>
            <w:tcW w:w="5391" w:type="dxa"/>
            <w:vMerge w:val="continue"/>
            <w:tcBorders>
              <w:left w:val="single" w:color="000000" w:sz="4" w:space="0"/>
              <w:bottom w:val="single" w:color="000000" w:sz="4" w:space="0"/>
              <w:right w:val="single" w:color="000000" w:sz="4" w:space="0"/>
            </w:tcBorders>
            <w:vAlign w:val="center"/>
          </w:tcPr>
          <w:p w14:paraId="6D254780">
            <w:pPr>
              <w:rPr>
                <w:rFonts w:ascii="仿宋_GB2312" w:hAnsi="微软雅黑" w:eastAsia="仿宋_GB2312"/>
                <w:color w:val="000000" w:themeColor="text1"/>
                <w:sz w:val="22"/>
                <w:szCs w:val="22"/>
                <w:u w:val="none"/>
                <w14:textFill>
                  <w14:solidFill>
                    <w14:schemeClr w14:val="tx1"/>
                  </w14:solidFill>
                </w14:textFill>
              </w:rPr>
            </w:pPr>
          </w:p>
        </w:tc>
      </w:tr>
      <w:tr w14:paraId="46B467E1">
        <w:tblPrEx>
          <w:tblCellMar>
            <w:top w:w="0" w:type="dxa"/>
            <w:left w:w="108" w:type="dxa"/>
            <w:bottom w:w="0" w:type="dxa"/>
            <w:right w:w="108" w:type="dxa"/>
          </w:tblCellMar>
        </w:tblPrEx>
        <w:trPr>
          <w:trHeight w:val="1234" w:hRule="atLeast"/>
          <w:jc w:val="center"/>
        </w:trPr>
        <w:tc>
          <w:tcPr>
            <w:tcW w:w="1595" w:type="dxa"/>
            <w:vMerge w:val="restart"/>
            <w:tcBorders>
              <w:top w:val="single" w:color="000000" w:sz="4" w:space="0"/>
              <w:left w:val="single" w:color="000000" w:sz="4" w:space="0"/>
              <w:bottom w:val="single" w:color="auto" w:sz="4" w:space="0"/>
              <w:right w:val="single" w:color="000000" w:sz="4" w:space="0"/>
            </w:tcBorders>
            <w:vAlign w:val="center"/>
          </w:tcPr>
          <w:p w14:paraId="677E8371">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（十二）科学技术类</w:t>
            </w:r>
          </w:p>
        </w:tc>
        <w:tc>
          <w:tcPr>
            <w:tcW w:w="1661" w:type="dxa"/>
            <w:tcBorders>
              <w:top w:val="single" w:color="000000" w:sz="4" w:space="0"/>
              <w:left w:val="single" w:color="000000" w:sz="4" w:space="0"/>
              <w:bottom w:val="single" w:color="auto" w:sz="4" w:space="0"/>
              <w:right w:val="single" w:color="000000" w:sz="4" w:space="0"/>
            </w:tcBorders>
            <w:vAlign w:val="center"/>
          </w:tcPr>
          <w:p w14:paraId="0EC7AC2A">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37.知识产权和重大发现</w:t>
            </w:r>
          </w:p>
        </w:tc>
        <w:tc>
          <w:tcPr>
            <w:tcW w:w="4961" w:type="dxa"/>
            <w:tcBorders>
              <w:top w:val="single" w:color="000000" w:sz="4" w:space="0"/>
              <w:left w:val="single" w:color="000000" w:sz="4" w:space="0"/>
              <w:bottom w:val="single" w:color="auto" w:sz="4" w:space="0"/>
              <w:right w:val="single" w:color="000000" w:sz="4" w:space="0"/>
            </w:tcBorders>
            <w:vAlign w:val="center"/>
          </w:tcPr>
          <w:p w14:paraId="408BED14">
            <w:pPr>
              <w:widowControl/>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包括涉及国防、国家安全或其他非公开的知识产权，其他能显著提升国家安全能力或直接影响国家安全的科研论文、观测数据、产业化成果等。</w:t>
            </w:r>
          </w:p>
        </w:tc>
        <w:tc>
          <w:tcPr>
            <w:tcW w:w="5391" w:type="dxa"/>
            <w:vMerge w:val="restart"/>
            <w:tcBorders>
              <w:top w:val="single" w:color="000000" w:sz="4" w:space="0"/>
              <w:left w:val="single" w:color="000000" w:sz="4" w:space="0"/>
              <w:bottom w:val="single" w:color="auto" w:sz="4" w:space="0"/>
              <w:right w:val="single" w:color="000000" w:sz="4" w:space="0"/>
            </w:tcBorders>
            <w:vAlign w:val="center"/>
          </w:tcPr>
          <w:p w14:paraId="506CD537">
            <w:pPr>
              <w:rPr>
                <w:rFonts w:hint="eastAsia"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涉及国防、国家安全的知识产权数据。被列入《中国禁</w:t>
            </w:r>
          </w:p>
          <w:p w14:paraId="65221B37">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止出口限制出口技术目录》有关数据。</w:t>
            </w:r>
          </w:p>
        </w:tc>
      </w:tr>
      <w:tr w14:paraId="171F58D9">
        <w:tblPrEx>
          <w:tblCellMar>
            <w:top w:w="0" w:type="dxa"/>
            <w:left w:w="108" w:type="dxa"/>
            <w:bottom w:w="0" w:type="dxa"/>
            <w:right w:w="108" w:type="dxa"/>
          </w:tblCellMar>
        </w:tblPrEx>
        <w:trPr>
          <w:trHeight w:val="1234" w:hRule="atLeast"/>
          <w:jc w:val="center"/>
        </w:trPr>
        <w:tc>
          <w:tcPr>
            <w:tcW w:w="1595" w:type="dxa"/>
            <w:vMerge w:val="continue"/>
            <w:tcBorders>
              <w:left w:val="single" w:color="000000" w:sz="4" w:space="0"/>
              <w:right w:val="single" w:color="000000" w:sz="4" w:space="0"/>
            </w:tcBorders>
            <w:vAlign w:val="center"/>
          </w:tcPr>
          <w:p w14:paraId="21CB4AFE">
            <w:pPr>
              <w:rPr>
                <w:rFonts w:hint="eastAsia" w:ascii="仿宋_GB2312" w:hAnsi="微软雅黑" w:eastAsia="仿宋_GB2312"/>
                <w:color w:val="000000" w:themeColor="text1"/>
                <w:sz w:val="22"/>
                <w:szCs w:val="22"/>
                <w:u w:val="none"/>
                <w14:textFill>
                  <w14:solidFill>
                    <w14:schemeClr w14:val="tx1"/>
                  </w14:solidFill>
                </w14:textFill>
              </w:rPr>
            </w:pPr>
          </w:p>
        </w:tc>
        <w:tc>
          <w:tcPr>
            <w:tcW w:w="1661" w:type="dxa"/>
            <w:tcBorders>
              <w:top w:val="single" w:color="000000" w:sz="4" w:space="0"/>
              <w:left w:val="single" w:color="000000" w:sz="4" w:space="0"/>
              <w:bottom w:val="single" w:color="auto" w:sz="4" w:space="0"/>
              <w:right w:val="single" w:color="000000" w:sz="4" w:space="0"/>
            </w:tcBorders>
            <w:vAlign w:val="center"/>
          </w:tcPr>
          <w:p w14:paraId="052FCE8B">
            <w:pPr>
              <w:widowControl/>
              <w:textAlignment w:val="center"/>
              <w:rPr>
                <w:rFonts w:hint="eastAsia"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3</w:t>
            </w:r>
            <w:r>
              <w:rPr>
                <w:rFonts w:hint="eastAsia" w:ascii="仿宋_GB2312" w:hAnsi="微软雅黑" w:eastAsia="仿宋_GB2312"/>
                <w:color w:val="000000" w:themeColor="text1"/>
                <w:sz w:val="22"/>
                <w:szCs w:val="22"/>
                <w:u w:val="none"/>
                <w:lang w:val="en-US" w:eastAsia="zh-CN"/>
                <w14:textFill>
                  <w14:solidFill>
                    <w14:schemeClr w14:val="tx1"/>
                  </w14:solidFill>
                </w14:textFill>
              </w:rPr>
              <w:t>8</w:t>
            </w:r>
            <w:r>
              <w:rPr>
                <w:rFonts w:hint="eastAsia" w:ascii="仿宋_GB2312" w:hAnsi="微软雅黑" w:eastAsia="仿宋_GB2312"/>
                <w:color w:val="000000" w:themeColor="text1"/>
                <w:sz w:val="22"/>
                <w:szCs w:val="22"/>
                <w:u w:val="none"/>
                <w14:textFill>
                  <w14:solidFill>
                    <w14:schemeClr w14:val="tx1"/>
                  </w14:solidFill>
                </w14:textFill>
              </w:rPr>
              <w:t>.禁止出口限</w:t>
            </w:r>
          </w:p>
          <w:p w14:paraId="287142A0">
            <w:pPr>
              <w:widowControl/>
              <w:textAlignment w:val="center"/>
              <w:rPr>
                <w:rFonts w:hint="eastAsia"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制出口技术</w:t>
            </w:r>
          </w:p>
        </w:tc>
        <w:tc>
          <w:tcPr>
            <w:tcW w:w="4961" w:type="dxa"/>
            <w:tcBorders>
              <w:top w:val="single" w:color="000000" w:sz="4" w:space="0"/>
              <w:left w:val="single" w:color="000000" w:sz="4" w:space="0"/>
              <w:bottom w:val="single" w:color="auto" w:sz="4" w:space="0"/>
              <w:right w:val="single" w:color="000000" w:sz="4" w:space="0"/>
            </w:tcBorders>
            <w:vAlign w:val="center"/>
          </w:tcPr>
          <w:p w14:paraId="468ED8D6">
            <w:pPr>
              <w:widowControl/>
              <w:textAlignment w:val="center"/>
              <w:rPr>
                <w:rFonts w:hint="eastAsia"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包括《中国禁止出口限制出口技术目录》所列技术</w:t>
            </w:r>
          </w:p>
          <w:p w14:paraId="4594627D">
            <w:pPr>
              <w:widowControl/>
              <w:textAlignment w:val="center"/>
              <w:rPr>
                <w:rFonts w:hint="eastAsia"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有关的数据。</w:t>
            </w:r>
          </w:p>
        </w:tc>
        <w:tc>
          <w:tcPr>
            <w:tcW w:w="5391" w:type="dxa"/>
            <w:vMerge w:val="continue"/>
            <w:tcBorders>
              <w:left w:val="single" w:color="000000" w:sz="4" w:space="0"/>
              <w:right w:val="single" w:color="000000" w:sz="4" w:space="0"/>
            </w:tcBorders>
            <w:vAlign w:val="center"/>
          </w:tcPr>
          <w:p w14:paraId="776787D9">
            <w:pPr>
              <w:rPr>
                <w:rFonts w:hint="eastAsia" w:ascii="仿宋_GB2312" w:hAnsi="微软雅黑" w:eastAsia="仿宋_GB2312"/>
                <w:color w:val="000000" w:themeColor="text1"/>
                <w:sz w:val="22"/>
                <w:szCs w:val="22"/>
                <w:u w:val="none"/>
                <w14:textFill>
                  <w14:solidFill>
                    <w14:schemeClr w14:val="tx1"/>
                  </w14:solidFill>
                </w14:textFill>
              </w:rPr>
            </w:pPr>
          </w:p>
        </w:tc>
      </w:tr>
      <w:tr w14:paraId="0018DE7C">
        <w:tblPrEx>
          <w:tblCellMar>
            <w:top w:w="0" w:type="dxa"/>
            <w:left w:w="108" w:type="dxa"/>
            <w:bottom w:w="0" w:type="dxa"/>
            <w:right w:w="108" w:type="dxa"/>
          </w:tblCellMar>
        </w:tblPrEx>
        <w:trPr>
          <w:trHeight w:val="90" w:hRule="atLeast"/>
          <w:jc w:val="center"/>
        </w:trPr>
        <w:tc>
          <w:tcPr>
            <w:tcW w:w="1595" w:type="dxa"/>
            <w:vMerge w:val="restart"/>
            <w:tcBorders>
              <w:top w:val="single" w:color="auto" w:sz="4" w:space="0"/>
              <w:left w:val="single" w:color="auto" w:sz="4" w:space="0"/>
              <w:right w:val="single" w:color="auto" w:sz="4" w:space="0"/>
            </w:tcBorders>
            <w:vAlign w:val="center"/>
          </w:tcPr>
          <w:p w14:paraId="77FB095C">
            <w:pP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（十三）其他数据类</w:t>
            </w:r>
          </w:p>
        </w:tc>
        <w:tc>
          <w:tcPr>
            <w:tcW w:w="1661" w:type="dxa"/>
            <w:tcBorders>
              <w:top w:val="single" w:color="auto" w:sz="4" w:space="0"/>
              <w:left w:val="single" w:color="auto" w:sz="4" w:space="0"/>
              <w:bottom w:val="single" w:color="auto" w:sz="4" w:space="0"/>
              <w:right w:val="single" w:color="auto" w:sz="4" w:space="0"/>
            </w:tcBorders>
            <w:vAlign w:val="center"/>
          </w:tcPr>
          <w:p w14:paraId="06695896">
            <w:pPr>
              <w:widowControl/>
              <w:textAlignment w:val="center"/>
              <w:rPr>
                <w:rFonts w:hint="default" w:ascii="仿宋_GB2312" w:hAnsi="微软雅黑" w:eastAsia="仿宋_GB2312"/>
                <w:sz w:val="22"/>
                <w:szCs w:val="22"/>
                <w:u w:val="none"/>
                <w:lang w:val="en-US" w:eastAsia="zh-CN"/>
              </w:rPr>
            </w:pPr>
            <w:r>
              <w:rPr>
                <w:rFonts w:hint="eastAsia" w:ascii="仿宋_GB2312" w:hAnsi="微软雅黑" w:eastAsia="仿宋_GB2312"/>
                <w:sz w:val="22"/>
                <w:szCs w:val="22"/>
                <w:u w:val="none"/>
                <w:lang w:val="en-US" w:eastAsia="zh-CN"/>
              </w:rPr>
              <w:t>39.属于出口管制法管制的相关数据</w:t>
            </w:r>
          </w:p>
        </w:tc>
        <w:tc>
          <w:tcPr>
            <w:tcW w:w="4961" w:type="dxa"/>
            <w:tcBorders>
              <w:top w:val="single" w:color="auto" w:sz="4" w:space="0"/>
              <w:left w:val="single" w:color="auto" w:sz="4" w:space="0"/>
              <w:bottom w:val="single" w:color="auto" w:sz="4" w:space="0"/>
              <w:right w:val="single" w:color="auto" w:sz="4" w:space="0"/>
            </w:tcBorders>
            <w:vAlign w:val="center"/>
          </w:tcPr>
          <w:p w14:paraId="316FB123">
            <w:pPr>
              <w:widowControl/>
              <w:textAlignment w:val="center"/>
              <w:rPr>
                <w:rFonts w:hint="eastAsia" w:ascii="仿宋_GB2312" w:hAnsi="微软雅黑" w:eastAsia="仿宋_GB2312"/>
                <w:sz w:val="22"/>
                <w:szCs w:val="22"/>
                <w:u w:val="none"/>
                <w:lang w:val="en-US" w:eastAsia="zh-CN"/>
              </w:rPr>
            </w:pPr>
            <w:r>
              <w:rPr>
                <w:rFonts w:hint="eastAsia" w:ascii="仿宋_GB2312" w:hAnsi="微软雅黑" w:eastAsia="仿宋_GB2312"/>
                <w:sz w:val="22"/>
                <w:szCs w:val="22"/>
                <w:u w:val="none"/>
                <w:lang w:val="en-US" w:eastAsia="zh-CN"/>
              </w:rPr>
              <w:t>包括列入国家出口管制清单的相关物项数据。</w:t>
            </w:r>
          </w:p>
        </w:tc>
        <w:tc>
          <w:tcPr>
            <w:tcW w:w="5391" w:type="dxa"/>
            <w:vMerge w:val="restart"/>
            <w:tcBorders>
              <w:top w:val="single" w:color="auto" w:sz="4" w:space="0"/>
              <w:left w:val="single" w:color="auto" w:sz="4" w:space="0"/>
              <w:right w:val="single" w:color="auto" w:sz="4" w:space="0"/>
            </w:tcBorders>
            <w:vAlign w:val="center"/>
          </w:tcPr>
          <w:p w14:paraId="68E6428B">
            <w:pPr>
              <w:textAlignment w:val="center"/>
              <w:rPr>
                <w:rFonts w:ascii="仿宋_GB2312" w:hAnsi="微软雅黑" w:eastAsia="仿宋_GB2312"/>
                <w:color w:val="000000" w:themeColor="text1"/>
                <w:sz w:val="22"/>
                <w:szCs w:val="22"/>
                <w:u w:val="none"/>
                <w14:textFill>
                  <w14:solidFill>
                    <w14:schemeClr w14:val="tx1"/>
                  </w14:solidFill>
                </w14:textFill>
              </w:rPr>
            </w:pPr>
            <w:r>
              <w:rPr>
                <w:rFonts w:hint="eastAsia" w:ascii="仿宋_GB2312" w:hAnsi="微软雅黑" w:eastAsia="仿宋_GB2312"/>
                <w:color w:val="000000" w:themeColor="text1"/>
                <w:sz w:val="22"/>
                <w:szCs w:val="22"/>
                <w:u w:val="none"/>
                <w14:textFill>
                  <w14:solidFill>
                    <w14:schemeClr w14:val="tx1"/>
                  </w14:solidFill>
                </w14:textFill>
              </w:rPr>
              <w:t>其他可能影响国家政治、国土、军事、经济、文化、社会、科技、网络、生态、资源、核、海外利益、太空、极地、深海、</w:t>
            </w:r>
            <w:r>
              <w:rPr>
                <w:rFonts w:hint="eastAsia" w:ascii="仿宋_GB2312" w:hAnsi="微软雅黑" w:eastAsia="仿宋_GB2312"/>
                <w:color w:val="000000" w:themeColor="text1"/>
                <w:sz w:val="22"/>
                <w:szCs w:val="22"/>
                <w:u w:val="none"/>
                <w:lang w:eastAsia="zh-CN"/>
                <w14:textFill>
                  <w14:solidFill>
                    <w14:schemeClr w14:val="tx1"/>
                  </w14:solidFill>
                </w14:textFill>
              </w:rPr>
              <w:t>低空、</w:t>
            </w:r>
            <w:r>
              <w:rPr>
                <w:rFonts w:hint="eastAsia" w:ascii="仿宋_GB2312" w:hAnsi="微软雅黑" w:eastAsia="仿宋_GB2312"/>
                <w:color w:val="000000" w:themeColor="text1"/>
                <w:sz w:val="22"/>
                <w:szCs w:val="22"/>
                <w:u w:val="none"/>
                <w14:textFill>
                  <w14:solidFill>
                    <w14:schemeClr w14:val="tx1"/>
                  </w14:solidFill>
                </w14:textFill>
              </w:rPr>
              <w:t>生物等安全，符合重要数据定义的数据。</w:t>
            </w:r>
          </w:p>
        </w:tc>
      </w:tr>
      <w:tr w14:paraId="501BDE4A">
        <w:tblPrEx>
          <w:tblCellMar>
            <w:top w:w="0" w:type="dxa"/>
            <w:left w:w="108" w:type="dxa"/>
            <w:bottom w:w="0" w:type="dxa"/>
            <w:right w:w="108" w:type="dxa"/>
          </w:tblCellMar>
        </w:tblPrEx>
        <w:trPr>
          <w:trHeight w:val="90" w:hRule="atLeast"/>
          <w:jc w:val="center"/>
        </w:trPr>
        <w:tc>
          <w:tcPr>
            <w:tcW w:w="1595" w:type="dxa"/>
            <w:vMerge w:val="continue"/>
            <w:tcBorders>
              <w:left w:val="single" w:color="auto" w:sz="4" w:space="0"/>
              <w:bottom w:val="single" w:color="auto" w:sz="4" w:space="0"/>
              <w:right w:val="single" w:color="auto" w:sz="4" w:space="0"/>
            </w:tcBorders>
            <w:vAlign w:val="center"/>
          </w:tcPr>
          <w:p w14:paraId="59537B68">
            <w:pPr>
              <w:rPr>
                <w:rFonts w:ascii="仿宋_GB2312" w:hAnsi="微软雅黑" w:eastAsia="仿宋_GB2312"/>
                <w:color w:val="000000" w:themeColor="text1"/>
                <w:sz w:val="22"/>
                <w:szCs w:val="22"/>
                <w:u w:val="none"/>
                <w14:textFill>
                  <w14:solidFill>
                    <w14:schemeClr w14:val="tx1"/>
                  </w14:solidFill>
                </w14:textFill>
              </w:rPr>
            </w:pPr>
          </w:p>
        </w:tc>
        <w:tc>
          <w:tcPr>
            <w:tcW w:w="6622" w:type="dxa"/>
            <w:gridSpan w:val="2"/>
            <w:tcBorders>
              <w:top w:val="single" w:color="auto" w:sz="4" w:space="0"/>
              <w:left w:val="single" w:color="auto" w:sz="4" w:space="0"/>
              <w:bottom w:val="single" w:color="auto" w:sz="4" w:space="0"/>
              <w:right w:val="single" w:color="auto" w:sz="4" w:space="0"/>
            </w:tcBorders>
            <w:vAlign w:val="center"/>
          </w:tcPr>
          <w:p w14:paraId="1474116E">
            <w:pPr>
              <w:widowControl/>
              <w:textAlignment w:val="center"/>
              <w:rPr>
                <w:rFonts w:ascii="仿宋_GB2312" w:hAnsi="微软雅黑" w:eastAsia="仿宋_GB2312"/>
                <w:sz w:val="22"/>
                <w:szCs w:val="22"/>
                <w:u w:val="none"/>
              </w:rPr>
            </w:pPr>
            <w:r>
              <w:rPr>
                <w:rFonts w:hint="eastAsia" w:ascii="仿宋_GB2312" w:hAnsi="微软雅黑" w:eastAsia="仿宋_GB2312"/>
                <w:sz w:val="22"/>
                <w:szCs w:val="22"/>
                <w:u w:val="none"/>
                <w:lang w:val="en-US" w:eastAsia="zh-CN"/>
              </w:rPr>
              <w:t>40</w:t>
            </w:r>
            <w:r>
              <w:rPr>
                <w:rFonts w:hint="eastAsia" w:ascii="仿宋_GB2312" w:hAnsi="微软雅黑" w:eastAsia="仿宋_GB2312"/>
                <w:sz w:val="22"/>
                <w:szCs w:val="22"/>
                <w:u w:val="none"/>
              </w:rPr>
              <w:t>.其他可能影响国家政治、国土、军事、经济、文化、社会、科技、网络、生态、资源、核、海外利益、太空、极地、深海、</w:t>
            </w:r>
            <w:r>
              <w:rPr>
                <w:rFonts w:hint="eastAsia" w:ascii="仿宋_GB2312" w:hAnsi="微软雅黑" w:eastAsia="仿宋_GB2312"/>
                <w:sz w:val="22"/>
                <w:szCs w:val="22"/>
                <w:u w:val="none"/>
                <w:lang w:eastAsia="zh-CN"/>
              </w:rPr>
              <w:t>低空、</w:t>
            </w:r>
            <w:r>
              <w:rPr>
                <w:rFonts w:hint="eastAsia" w:ascii="仿宋_GB2312" w:hAnsi="微软雅黑" w:eastAsia="仿宋_GB2312"/>
                <w:sz w:val="22"/>
                <w:szCs w:val="22"/>
                <w:u w:val="none"/>
              </w:rPr>
              <w:t>生物等安全的数据。</w:t>
            </w:r>
          </w:p>
        </w:tc>
        <w:tc>
          <w:tcPr>
            <w:tcW w:w="5391" w:type="dxa"/>
            <w:vMerge w:val="continue"/>
            <w:tcBorders>
              <w:left w:val="single" w:color="auto" w:sz="4" w:space="0"/>
              <w:bottom w:val="single" w:color="auto" w:sz="4" w:space="0"/>
              <w:right w:val="single" w:color="auto" w:sz="4" w:space="0"/>
            </w:tcBorders>
            <w:vAlign w:val="center"/>
          </w:tcPr>
          <w:p w14:paraId="76658A8C">
            <w:pPr>
              <w:textAlignment w:val="center"/>
              <w:rPr>
                <w:rFonts w:ascii="仿宋_GB2312" w:hAnsi="微软雅黑" w:eastAsia="仿宋_GB2312"/>
                <w:color w:val="000000" w:themeColor="text1"/>
                <w:sz w:val="22"/>
                <w:szCs w:val="22"/>
                <w:u w:val="none"/>
                <w14:textFill>
                  <w14:solidFill>
                    <w14:schemeClr w14:val="tx1"/>
                  </w14:solidFill>
                </w14:textFill>
              </w:rPr>
            </w:pPr>
          </w:p>
        </w:tc>
      </w:tr>
    </w:tbl>
    <w:p w14:paraId="2E569FF7">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ascii="仿宋_GB2312" w:hAnsi="仿宋_GB2312" w:eastAsia="仿宋_GB2312" w:cs="仿宋_GB2312"/>
          <w:sz w:val="32"/>
          <w:szCs w:val="32"/>
        </w:rPr>
      </w:pPr>
    </w:p>
    <w:sectPr>
      <w:footerReference r:id="rId5" w:type="default"/>
      <w:pgSz w:w="16838" w:h="11906" w:orient="landscape"/>
      <w:pgMar w:top="1588" w:right="2098" w:bottom="1474" w:left="1985" w:header="907" w:footer="79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CFB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1DCE6">
                          <w:pPr>
                            <w:pStyle w:val="6"/>
                            <w:rPr>
                              <w:rFonts w:hint="default" w:asciiTheme="minorAscii" w:hAnsiTheme="minorAscii"/>
                              <w:sz w:val="18"/>
                              <w:szCs w:val="18"/>
                            </w:rPr>
                          </w:pPr>
                          <w:r>
                            <w:rPr>
                              <w:rFonts w:hint="default" w:eastAsia="仿宋_GB2312" w:cs="仿宋_GB2312" w:asciiTheme="minorAscii" w:hAnsiTheme="minorAscii"/>
                              <w:sz w:val="18"/>
                              <w:szCs w:val="18"/>
                            </w:rPr>
                            <w:fldChar w:fldCharType="begin"/>
                          </w:r>
                          <w:r>
                            <w:rPr>
                              <w:rFonts w:hint="default" w:eastAsia="仿宋_GB2312" w:cs="仿宋_GB2312" w:asciiTheme="minorAscii" w:hAnsiTheme="minorAscii"/>
                              <w:sz w:val="18"/>
                              <w:szCs w:val="18"/>
                            </w:rPr>
                            <w:instrText xml:space="preserve"> PAGE  \* MERGEFORMAT </w:instrText>
                          </w:r>
                          <w:r>
                            <w:rPr>
                              <w:rFonts w:hint="default" w:eastAsia="仿宋_GB2312" w:cs="仿宋_GB2312" w:asciiTheme="minorAscii" w:hAnsiTheme="minorAscii"/>
                              <w:sz w:val="18"/>
                              <w:szCs w:val="18"/>
                            </w:rPr>
                            <w:fldChar w:fldCharType="separate"/>
                          </w:r>
                          <w:r>
                            <w:rPr>
                              <w:rFonts w:hint="default" w:eastAsia="仿宋_GB2312" w:cs="仿宋_GB2312" w:asciiTheme="minorAscii" w:hAnsiTheme="minorAscii"/>
                              <w:sz w:val="18"/>
                              <w:szCs w:val="18"/>
                            </w:rPr>
                            <w:t>- 9 -</w:t>
                          </w:r>
                          <w:r>
                            <w:rPr>
                              <w:rFonts w:hint="default" w:eastAsia="仿宋_GB2312" w:cs="仿宋_GB2312" w:asciiTheme="minorAscii" w:hAnsiTheme="minorAscii"/>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761DCE6">
                    <w:pPr>
                      <w:pStyle w:val="6"/>
                      <w:rPr>
                        <w:rFonts w:hint="default" w:asciiTheme="minorAscii" w:hAnsiTheme="minorAscii"/>
                        <w:sz w:val="18"/>
                        <w:szCs w:val="18"/>
                      </w:rPr>
                    </w:pPr>
                    <w:r>
                      <w:rPr>
                        <w:rFonts w:hint="default" w:eastAsia="仿宋_GB2312" w:cs="仿宋_GB2312" w:asciiTheme="minorAscii" w:hAnsiTheme="minorAscii"/>
                        <w:sz w:val="18"/>
                        <w:szCs w:val="18"/>
                      </w:rPr>
                      <w:fldChar w:fldCharType="begin"/>
                    </w:r>
                    <w:r>
                      <w:rPr>
                        <w:rFonts w:hint="default" w:eastAsia="仿宋_GB2312" w:cs="仿宋_GB2312" w:asciiTheme="minorAscii" w:hAnsiTheme="minorAscii"/>
                        <w:sz w:val="18"/>
                        <w:szCs w:val="18"/>
                      </w:rPr>
                      <w:instrText xml:space="preserve"> PAGE  \* MERGEFORMAT </w:instrText>
                    </w:r>
                    <w:r>
                      <w:rPr>
                        <w:rFonts w:hint="default" w:eastAsia="仿宋_GB2312" w:cs="仿宋_GB2312" w:asciiTheme="minorAscii" w:hAnsiTheme="minorAscii"/>
                        <w:sz w:val="18"/>
                        <w:szCs w:val="18"/>
                      </w:rPr>
                      <w:fldChar w:fldCharType="separate"/>
                    </w:r>
                    <w:r>
                      <w:rPr>
                        <w:rFonts w:hint="default" w:eastAsia="仿宋_GB2312" w:cs="仿宋_GB2312" w:asciiTheme="minorAscii" w:hAnsiTheme="minorAscii"/>
                        <w:sz w:val="18"/>
                        <w:szCs w:val="18"/>
                      </w:rPr>
                      <w:t>- 9 -</w:t>
                    </w:r>
                    <w:r>
                      <w:rPr>
                        <w:rFonts w:hint="default" w:eastAsia="仿宋_GB2312" w:cs="仿宋_GB2312" w:asciiTheme="minorAscii" w:hAnsiTheme="minorAscii"/>
                        <w:sz w:val="18"/>
                        <w:szCs w:val="18"/>
                      </w:rPr>
                      <w:fldChar w:fldCharType="end"/>
                    </w:r>
                  </w:p>
                </w:txbxContent>
              </v:textbox>
            </v:shape>
          </w:pict>
        </mc:Fallback>
      </mc:AlternateContent>
    </w:r>
  </w:p>
  <w:p w14:paraId="0A1F474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EB11">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4D0B8">
                          <w:pPr>
                            <w:pStyle w:val="6"/>
                            <w:rPr>
                              <w:rFonts w:hint="default" w:asciiTheme="minorAscii" w:hAnsiTheme="minorAscii"/>
                              <w:sz w:val="18"/>
                              <w:szCs w:val="18"/>
                            </w:rPr>
                          </w:pPr>
                          <w:r>
                            <w:rPr>
                              <w:rFonts w:hint="default" w:eastAsia="仿宋_GB2312" w:cs="仿宋_GB2312" w:asciiTheme="minorAscii" w:hAnsiTheme="minorAscii"/>
                              <w:sz w:val="18"/>
                              <w:szCs w:val="18"/>
                            </w:rPr>
                            <w:fldChar w:fldCharType="begin"/>
                          </w:r>
                          <w:r>
                            <w:rPr>
                              <w:rFonts w:hint="default" w:eastAsia="仿宋_GB2312" w:cs="仿宋_GB2312" w:asciiTheme="minorAscii" w:hAnsiTheme="minorAscii"/>
                              <w:sz w:val="18"/>
                              <w:szCs w:val="18"/>
                            </w:rPr>
                            <w:instrText xml:space="preserve"> PAGE  \* MERGEFORMAT </w:instrText>
                          </w:r>
                          <w:r>
                            <w:rPr>
                              <w:rFonts w:hint="default" w:eastAsia="仿宋_GB2312" w:cs="仿宋_GB2312" w:asciiTheme="minorAscii" w:hAnsiTheme="minorAscii"/>
                              <w:sz w:val="18"/>
                              <w:szCs w:val="18"/>
                            </w:rPr>
                            <w:fldChar w:fldCharType="separate"/>
                          </w:r>
                          <w:r>
                            <w:rPr>
                              <w:rFonts w:hint="default" w:eastAsia="仿宋_GB2312" w:cs="仿宋_GB2312" w:asciiTheme="minorAscii" w:hAnsiTheme="minorAscii"/>
                              <w:sz w:val="18"/>
                              <w:szCs w:val="18"/>
                            </w:rPr>
                            <w:t>- 20 -</w:t>
                          </w:r>
                          <w:r>
                            <w:rPr>
                              <w:rFonts w:hint="default" w:eastAsia="仿宋_GB2312" w:cs="仿宋_GB2312" w:asciiTheme="minorAscii" w:hAnsiTheme="minorAscii"/>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A54D0B8">
                    <w:pPr>
                      <w:pStyle w:val="6"/>
                      <w:rPr>
                        <w:rFonts w:hint="default" w:asciiTheme="minorAscii" w:hAnsiTheme="minorAscii"/>
                        <w:sz w:val="18"/>
                        <w:szCs w:val="18"/>
                      </w:rPr>
                    </w:pPr>
                    <w:r>
                      <w:rPr>
                        <w:rFonts w:hint="default" w:eastAsia="仿宋_GB2312" w:cs="仿宋_GB2312" w:asciiTheme="minorAscii" w:hAnsiTheme="minorAscii"/>
                        <w:sz w:val="18"/>
                        <w:szCs w:val="18"/>
                      </w:rPr>
                      <w:fldChar w:fldCharType="begin"/>
                    </w:r>
                    <w:r>
                      <w:rPr>
                        <w:rFonts w:hint="default" w:eastAsia="仿宋_GB2312" w:cs="仿宋_GB2312" w:asciiTheme="minorAscii" w:hAnsiTheme="minorAscii"/>
                        <w:sz w:val="18"/>
                        <w:szCs w:val="18"/>
                      </w:rPr>
                      <w:instrText xml:space="preserve"> PAGE  \* MERGEFORMAT </w:instrText>
                    </w:r>
                    <w:r>
                      <w:rPr>
                        <w:rFonts w:hint="default" w:eastAsia="仿宋_GB2312" w:cs="仿宋_GB2312" w:asciiTheme="minorAscii" w:hAnsiTheme="minorAscii"/>
                        <w:sz w:val="18"/>
                        <w:szCs w:val="18"/>
                      </w:rPr>
                      <w:fldChar w:fldCharType="separate"/>
                    </w:r>
                    <w:r>
                      <w:rPr>
                        <w:rFonts w:hint="default" w:eastAsia="仿宋_GB2312" w:cs="仿宋_GB2312" w:asciiTheme="minorAscii" w:hAnsiTheme="minorAscii"/>
                        <w:sz w:val="18"/>
                        <w:szCs w:val="18"/>
                      </w:rPr>
                      <w:t>- 20 -</w:t>
                    </w:r>
                    <w:r>
                      <w:rPr>
                        <w:rFonts w:hint="default" w:eastAsia="仿宋_GB2312" w:cs="仿宋_GB2312" w:asciiTheme="minorAscii" w:hAnsiTheme="minorAscii"/>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EA28D">
    <w:pPr>
      <w:pStyle w:val="6"/>
      <w:jc w:val="center"/>
    </w:pPr>
  </w:p>
  <w:p w14:paraId="18AC710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27DD3"/>
    <w:multiLevelType w:val="singleLevel"/>
    <w:tmpl w:val="1F627DD3"/>
    <w:lvl w:ilvl="0" w:tentative="0">
      <w:start w:val="1"/>
      <w:numFmt w:val="chineseCounting"/>
      <w:suff w:val="space"/>
      <w:lvlText w:val="第%1条"/>
      <w:lvlJc w:val="left"/>
      <w:pPr>
        <w:tabs>
          <w:tab w:val="left" w:pos="10577"/>
        </w:tabs>
        <w:ind w:firstLine="40"/>
      </w:pPr>
      <w:rPr>
        <w:rFonts w:hint="eastAsia" w:ascii="黑体" w:hAnsi="黑体" w:eastAsia="黑体" w:cs="黑体"/>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0E"/>
    <w:rsid w:val="0000013E"/>
    <w:rsid w:val="00002746"/>
    <w:rsid w:val="00004EBD"/>
    <w:rsid w:val="00011BB5"/>
    <w:rsid w:val="0001252C"/>
    <w:rsid w:val="000435FC"/>
    <w:rsid w:val="00054FAD"/>
    <w:rsid w:val="00063B17"/>
    <w:rsid w:val="0007410C"/>
    <w:rsid w:val="00080580"/>
    <w:rsid w:val="00091F72"/>
    <w:rsid w:val="000A093D"/>
    <w:rsid w:val="000C5E9C"/>
    <w:rsid w:val="000D228B"/>
    <w:rsid w:val="000E002E"/>
    <w:rsid w:val="000E64F3"/>
    <w:rsid w:val="000F2F29"/>
    <w:rsid w:val="0011174A"/>
    <w:rsid w:val="00114515"/>
    <w:rsid w:val="001268A5"/>
    <w:rsid w:val="00135568"/>
    <w:rsid w:val="00136638"/>
    <w:rsid w:val="00143523"/>
    <w:rsid w:val="00145916"/>
    <w:rsid w:val="00156BCD"/>
    <w:rsid w:val="001715CF"/>
    <w:rsid w:val="00184A38"/>
    <w:rsid w:val="00193289"/>
    <w:rsid w:val="001A4BF2"/>
    <w:rsid w:val="001A5CF5"/>
    <w:rsid w:val="001A5D7C"/>
    <w:rsid w:val="001B3C58"/>
    <w:rsid w:val="001B63A7"/>
    <w:rsid w:val="001C29B5"/>
    <w:rsid w:val="001D74A8"/>
    <w:rsid w:val="001D74B1"/>
    <w:rsid w:val="001E20F3"/>
    <w:rsid w:val="001F1276"/>
    <w:rsid w:val="00216131"/>
    <w:rsid w:val="002203AD"/>
    <w:rsid w:val="002245F0"/>
    <w:rsid w:val="002273D0"/>
    <w:rsid w:val="002327E6"/>
    <w:rsid w:val="00236F61"/>
    <w:rsid w:val="00237A38"/>
    <w:rsid w:val="00250178"/>
    <w:rsid w:val="0025348B"/>
    <w:rsid w:val="002565A4"/>
    <w:rsid w:val="00265CCD"/>
    <w:rsid w:val="00266ECE"/>
    <w:rsid w:val="00283D46"/>
    <w:rsid w:val="002869B9"/>
    <w:rsid w:val="002A1D5E"/>
    <w:rsid w:val="002B0E42"/>
    <w:rsid w:val="002B2B7B"/>
    <w:rsid w:val="002B60B9"/>
    <w:rsid w:val="002C0F2B"/>
    <w:rsid w:val="002D3C0E"/>
    <w:rsid w:val="002E130F"/>
    <w:rsid w:val="003030C7"/>
    <w:rsid w:val="003250C5"/>
    <w:rsid w:val="00331103"/>
    <w:rsid w:val="00335F0A"/>
    <w:rsid w:val="00336DCE"/>
    <w:rsid w:val="00345F9C"/>
    <w:rsid w:val="00346D72"/>
    <w:rsid w:val="00353476"/>
    <w:rsid w:val="0035695D"/>
    <w:rsid w:val="00363335"/>
    <w:rsid w:val="003736C7"/>
    <w:rsid w:val="00375099"/>
    <w:rsid w:val="00377F7C"/>
    <w:rsid w:val="0038601B"/>
    <w:rsid w:val="003B33F1"/>
    <w:rsid w:val="003B3CFA"/>
    <w:rsid w:val="003D0EDC"/>
    <w:rsid w:val="00410A5F"/>
    <w:rsid w:val="00414104"/>
    <w:rsid w:val="00415690"/>
    <w:rsid w:val="004171AE"/>
    <w:rsid w:val="00423715"/>
    <w:rsid w:val="004610BA"/>
    <w:rsid w:val="00462C63"/>
    <w:rsid w:val="00465D6A"/>
    <w:rsid w:val="0046641F"/>
    <w:rsid w:val="004729CC"/>
    <w:rsid w:val="004751BA"/>
    <w:rsid w:val="00486AD7"/>
    <w:rsid w:val="004A1E5A"/>
    <w:rsid w:val="004B7C3C"/>
    <w:rsid w:val="004C316A"/>
    <w:rsid w:val="004C4656"/>
    <w:rsid w:val="004C4DB7"/>
    <w:rsid w:val="004C7197"/>
    <w:rsid w:val="004D0C8C"/>
    <w:rsid w:val="004D4D45"/>
    <w:rsid w:val="004D5DC7"/>
    <w:rsid w:val="004E58E7"/>
    <w:rsid w:val="00501713"/>
    <w:rsid w:val="00510BFD"/>
    <w:rsid w:val="005173B3"/>
    <w:rsid w:val="00521FCE"/>
    <w:rsid w:val="005375CD"/>
    <w:rsid w:val="005509D3"/>
    <w:rsid w:val="005514EA"/>
    <w:rsid w:val="00553E60"/>
    <w:rsid w:val="0055641C"/>
    <w:rsid w:val="00582F4F"/>
    <w:rsid w:val="005A5C07"/>
    <w:rsid w:val="005B32F3"/>
    <w:rsid w:val="005C2183"/>
    <w:rsid w:val="005D4AC2"/>
    <w:rsid w:val="005E0AE9"/>
    <w:rsid w:val="005E241E"/>
    <w:rsid w:val="005E4CF0"/>
    <w:rsid w:val="005F0FF1"/>
    <w:rsid w:val="005F410D"/>
    <w:rsid w:val="005F4525"/>
    <w:rsid w:val="005F6D7E"/>
    <w:rsid w:val="005F7874"/>
    <w:rsid w:val="00600B95"/>
    <w:rsid w:val="00617DD5"/>
    <w:rsid w:val="00622C5C"/>
    <w:rsid w:val="0062762E"/>
    <w:rsid w:val="0063465D"/>
    <w:rsid w:val="00636AC3"/>
    <w:rsid w:val="0064237E"/>
    <w:rsid w:val="00644141"/>
    <w:rsid w:val="00652589"/>
    <w:rsid w:val="006708D0"/>
    <w:rsid w:val="00692DA6"/>
    <w:rsid w:val="006B4094"/>
    <w:rsid w:val="006C4BB8"/>
    <w:rsid w:val="006E4D87"/>
    <w:rsid w:val="00700AFD"/>
    <w:rsid w:val="007019A8"/>
    <w:rsid w:val="00705BC2"/>
    <w:rsid w:val="007112CA"/>
    <w:rsid w:val="00723612"/>
    <w:rsid w:val="00726E83"/>
    <w:rsid w:val="00741F03"/>
    <w:rsid w:val="0074330A"/>
    <w:rsid w:val="00753309"/>
    <w:rsid w:val="0075792C"/>
    <w:rsid w:val="00762251"/>
    <w:rsid w:val="00764046"/>
    <w:rsid w:val="00770EF1"/>
    <w:rsid w:val="00782B3D"/>
    <w:rsid w:val="00794ACA"/>
    <w:rsid w:val="00796F89"/>
    <w:rsid w:val="007B3CC3"/>
    <w:rsid w:val="007D3231"/>
    <w:rsid w:val="007D6931"/>
    <w:rsid w:val="007E573E"/>
    <w:rsid w:val="007F5AFE"/>
    <w:rsid w:val="007F673F"/>
    <w:rsid w:val="00814C1D"/>
    <w:rsid w:val="008238AE"/>
    <w:rsid w:val="00824F87"/>
    <w:rsid w:val="00831423"/>
    <w:rsid w:val="008422AB"/>
    <w:rsid w:val="008439C1"/>
    <w:rsid w:val="008443C9"/>
    <w:rsid w:val="00844926"/>
    <w:rsid w:val="0086691A"/>
    <w:rsid w:val="00874CEA"/>
    <w:rsid w:val="00883E9E"/>
    <w:rsid w:val="00885260"/>
    <w:rsid w:val="008A2193"/>
    <w:rsid w:val="008A410A"/>
    <w:rsid w:val="008B49F7"/>
    <w:rsid w:val="008C58D5"/>
    <w:rsid w:val="008E651C"/>
    <w:rsid w:val="008F5E8F"/>
    <w:rsid w:val="00921323"/>
    <w:rsid w:val="00922E60"/>
    <w:rsid w:val="00932129"/>
    <w:rsid w:val="00935842"/>
    <w:rsid w:val="00973B1B"/>
    <w:rsid w:val="0097563E"/>
    <w:rsid w:val="00993876"/>
    <w:rsid w:val="009A6C1F"/>
    <w:rsid w:val="009E0D1B"/>
    <w:rsid w:val="009F3971"/>
    <w:rsid w:val="00A03DCD"/>
    <w:rsid w:val="00A05CC5"/>
    <w:rsid w:val="00A1771F"/>
    <w:rsid w:val="00A231CD"/>
    <w:rsid w:val="00A27D04"/>
    <w:rsid w:val="00A42B36"/>
    <w:rsid w:val="00A47653"/>
    <w:rsid w:val="00A47A18"/>
    <w:rsid w:val="00A64D30"/>
    <w:rsid w:val="00A774E4"/>
    <w:rsid w:val="00A8090F"/>
    <w:rsid w:val="00A83ABF"/>
    <w:rsid w:val="00AA3FFF"/>
    <w:rsid w:val="00AA4195"/>
    <w:rsid w:val="00AA56EF"/>
    <w:rsid w:val="00AC288D"/>
    <w:rsid w:val="00AC619F"/>
    <w:rsid w:val="00AD25B1"/>
    <w:rsid w:val="00AD3A13"/>
    <w:rsid w:val="00AD7F11"/>
    <w:rsid w:val="00AE1A52"/>
    <w:rsid w:val="00AE7943"/>
    <w:rsid w:val="00AF0346"/>
    <w:rsid w:val="00AF2BCC"/>
    <w:rsid w:val="00B0019F"/>
    <w:rsid w:val="00B11CFC"/>
    <w:rsid w:val="00B26FED"/>
    <w:rsid w:val="00B568D3"/>
    <w:rsid w:val="00B576DF"/>
    <w:rsid w:val="00B6761D"/>
    <w:rsid w:val="00B7005F"/>
    <w:rsid w:val="00B70103"/>
    <w:rsid w:val="00B77C12"/>
    <w:rsid w:val="00B90942"/>
    <w:rsid w:val="00B95A12"/>
    <w:rsid w:val="00BA71F4"/>
    <w:rsid w:val="00BC12A9"/>
    <w:rsid w:val="00BC18AB"/>
    <w:rsid w:val="00BC1BE4"/>
    <w:rsid w:val="00BD0ABC"/>
    <w:rsid w:val="00BE14CB"/>
    <w:rsid w:val="00BE6BD4"/>
    <w:rsid w:val="00BF200B"/>
    <w:rsid w:val="00C164BE"/>
    <w:rsid w:val="00C26C3C"/>
    <w:rsid w:val="00C275E4"/>
    <w:rsid w:val="00C322A3"/>
    <w:rsid w:val="00C36344"/>
    <w:rsid w:val="00C371BD"/>
    <w:rsid w:val="00C44C6D"/>
    <w:rsid w:val="00C508F4"/>
    <w:rsid w:val="00C64545"/>
    <w:rsid w:val="00C72DA6"/>
    <w:rsid w:val="00C925E2"/>
    <w:rsid w:val="00CA08B1"/>
    <w:rsid w:val="00CA1581"/>
    <w:rsid w:val="00CD46A6"/>
    <w:rsid w:val="00CF1CFE"/>
    <w:rsid w:val="00CF7498"/>
    <w:rsid w:val="00D0387F"/>
    <w:rsid w:val="00D072B4"/>
    <w:rsid w:val="00D140A3"/>
    <w:rsid w:val="00D14C22"/>
    <w:rsid w:val="00D14DD1"/>
    <w:rsid w:val="00D1651F"/>
    <w:rsid w:val="00D17CAF"/>
    <w:rsid w:val="00D43DDC"/>
    <w:rsid w:val="00D47642"/>
    <w:rsid w:val="00D54A95"/>
    <w:rsid w:val="00D61017"/>
    <w:rsid w:val="00D62970"/>
    <w:rsid w:val="00D70D62"/>
    <w:rsid w:val="00D72C40"/>
    <w:rsid w:val="00D81D9C"/>
    <w:rsid w:val="00D83BD0"/>
    <w:rsid w:val="00DA67F0"/>
    <w:rsid w:val="00DB28FB"/>
    <w:rsid w:val="00DC259A"/>
    <w:rsid w:val="00DD48B0"/>
    <w:rsid w:val="00DE1666"/>
    <w:rsid w:val="00E013EA"/>
    <w:rsid w:val="00E02B68"/>
    <w:rsid w:val="00E31803"/>
    <w:rsid w:val="00E35317"/>
    <w:rsid w:val="00E36A4C"/>
    <w:rsid w:val="00E47D90"/>
    <w:rsid w:val="00E53255"/>
    <w:rsid w:val="00E563C9"/>
    <w:rsid w:val="00E64C39"/>
    <w:rsid w:val="00E657AC"/>
    <w:rsid w:val="00E7029D"/>
    <w:rsid w:val="00E74988"/>
    <w:rsid w:val="00E81BF1"/>
    <w:rsid w:val="00E85D01"/>
    <w:rsid w:val="00E871BB"/>
    <w:rsid w:val="00EA0D6F"/>
    <w:rsid w:val="00EA3C4F"/>
    <w:rsid w:val="00EA4E41"/>
    <w:rsid w:val="00EA6704"/>
    <w:rsid w:val="00EA6A2F"/>
    <w:rsid w:val="00EB12C1"/>
    <w:rsid w:val="00EC7004"/>
    <w:rsid w:val="00ED080B"/>
    <w:rsid w:val="00ED15C1"/>
    <w:rsid w:val="00EE1D77"/>
    <w:rsid w:val="00EE695D"/>
    <w:rsid w:val="00EF08E9"/>
    <w:rsid w:val="00EF5294"/>
    <w:rsid w:val="00EF588E"/>
    <w:rsid w:val="00F200C5"/>
    <w:rsid w:val="00F24744"/>
    <w:rsid w:val="00F47DFE"/>
    <w:rsid w:val="00F615BB"/>
    <w:rsid w:val="00F63FDF"/>
    <w:rsid w:val="00F715BF"/>
    <w:rsid w:val="00F84AA2"/>
    <w:rsid w:val="00F90D21"/>
    <w:rsid w:val="00F939F8"/>
    <w:rsid w:val="00F9679B"/>
    <w:rsid w:val="00FA1D3D"/>
    <w:rsid w:val="00FA3D91"/>
    <w:rsid w:val="00FA5290"/>
    <w:rsid w:val="00FB0A46"/>
    <w:rsid w:val="00FB31DE"/>
    <w:rsid w:val="00FB477F"/>
    <w:rsid w:val="00FB57E7"/>
    <w:rsid w:val="00FC3920"/>
    <w:rsid w:val="00FE226B"/>
    <w:rsid w:val="00FF1168"/>
    <w:rsid w:val="00FF1B88"/>
    <w:rsid w:val="0B7FA8DA"/>
    <w:rsid w:val="0BFF6942"/>
    <w:rsid w:val="0D6A66CA"/>
    <w:rsid w:val="0DDB2982"/>
    <w:rsid w:val="0F5FA128"/>
    <w:rsid w:val="0FD81C6E"/>
    <w:rsid w:val="0FE57F83"/>
    <w:rsid w:val="11EFE176"/>
    <w:rsid w:val="1773197E"/>
    <w:rsid w:val="19F74E36"/>
    <w:rsid w:val="1DB65393"/>
    <w:rsid w:val="1DF7C9E6"/>
    <w:rsid w:val="1DFF0808"/>
    <w:rsid w:val="1F3F308E"/>
    <w:rsid w:val="1F973D35"/>
    <w:rsid w:val="1FF6972E"/>
    <w:rsid w:val="1FF7329D"/>
    <w:rsid w:val="1FFE6D70"/>
    <w:rsid w:val="20786F8C"/>
    <w:rsid w:val="23BF3877"/>
    <w:rsid w:val="2739FBA1"/>
    <w:rsid w:val="28E31B32"/>
    <w:rsid w:val="29D557F6"/>
    <w:rsid w:val="2BEDE230"/>
    <w:rsid w:val="2DE77138"/>
    <w:rsid w:val="2F3F45D1"/>
    <w:rsid w:val="2F732E03"/>
    <w:rsid w:val="33CD26EA"/>
    <w:rsid w:val="33EC739D"/>
    <w:rsid w:val="34FF2364"/>
    <w:rsid w:val="365DB16E"/>
    <w:rsid w:val="36CB3E30"/>
    <w:rsid w:val="36CFF1E8"/>
    <w:rsid w:val="36FD4081"/>
    <w:rsid w:val="37BF5353"/>
    <w:rsid w:val="37FAD048"/>
    <w:rsid w:val="37FF994D"/>
    <w:rsid w:val="37FFF3E1"/>
    <w:rsid w:val="38C8EA4B"/>
    <w:rsid w:val="3957630D"/>
    <w:rsid w:val="39CFF1AD"/>
    <w:rsid w:val="3CE54731"/>
    <w:rsid w:val="3D7ECA4B"/>
    <w:rsid w:val="3DBC01CB"/>
    <w:rsid w:val="3DF796F6"/>
    <w:rsid w:val="3E78A1CF"/>
    <w:rsid w:val="3E9735D6"/>
    <w:rsid w:val="3F397409"/>
    <w:rsid w:val="3F7D2D29"/>
    <w:rsid w:val="3FBDA2ED"/>
    <w:rsid w:val="3FBF7BC3"/>
    <w:rsid w:val="3FCB93AF"/>
    <w:rsid w:val="3FD7AE9E"/>
    <w:rsid w:val="3FDE29C7"/>
    <w:rsid w:val="47FF4082"/>
    <w:rsid w:val="48978804"/>
    <w:rsid w:val="4DBD1B79"/>
    <w:rsid w:val="4F9F3FE6"/>
    <w:rsid w:val="4FEF9D0E"/>
    <w:rsid w:val="5217110B"/>
    <w:rsid w:val="52730305"/>
    <w:rsid w:val="538DAAA1"/>
    <w:rsid w:val="57677DB9"/>
    <w:rsid w:val="57FB6863"/>
    <w:rsid w:val="57FF3550"/>
    <w:rsid w:val="57FF4DCC"/>
    <w:rsid w:val="5ADF5220"/>
    <w:rsid w:val="5B17B78E"/>
    <w:rsid w:val="5BFD2AE0"/>
    <w:rsid w:val="5CFD1265"/>
    <w:rsid w:val="5DE24A58"/>
    <w:rsid w:val="5DFDDCC6"/>
    <w:rsid w:val="5E3D187F"/>
    <w:rsid w:val="5EDFA5EB"/>
    <w:rsid w:val="5EEFBDBE"/>
    <w:rsid w:val="5EFFE613"/>
    <w:rsid w:val="5F1F527C"/>
    <w:rsid w:val="5F7DE280"/>
    <w:rsid w:val="5FBBDAEF"/>
    <w:rsid w:val="5FEAD5B4"/>
    <w:rsid w:val="5FF57E5A"/>
    <w:rsid w:val="5FF718DC"/>
    <w:rsid w:val="5FFFC9C5"/>
    <w:rsid w:val="60BF8F43"/>
    <w:rsid w:val="669C21CE"/>
    <w:rsid w:val="66FEC174"/>
    <w:rsid w:val="67A9672D"/>
    <w:rsid w:val="67B7E6EA"/>
    <w:rsid w:val="67FF35D2"/>
    <w:rsid w:val="68FF2B54"/>
    <w:rsid w:val="69C76DD7"/>
    <w:rsid w:val="6A77A241"/>
    <w:rsid w:val="6B9F65F3"/>
    <w:rsid w:val="6CED644D"/>
    <w:rsid w:val="6DF8B056"/>
    <w:rsid w:val="6EBF99E4"/>
    <w:rsid w:val="6EEFE3E3"/>
    <w:rsid w:val="6F62E878"/>
    <w:rsid w:val="6F7605B6"/>
    <w:rsid w:val="6FBAFE5B"/>
    <w:rsid w:val="6FC53F15"/>
    <w:rsid w:val="6FEB4DFE"/>
    <w:rsid w:val="6FF7522B"/>
    <w:rsid w:val="6FF75938"/>
    <w:rsid w:val="6FFC7ED9"/>
    <w:rsid w:val="70FDC4EB"/>
    <w:rsid w:val="71FFDA9D"/>
    <w:rsid w:val="72FE7BE4"/>
    <w:rsid w:val="73955BE9"/>
    <w:rsid w:val="74FC0DBA"/>
    <w:rsid w:val="74FD566F"/>
    <w:rsid w:val="75370C32"/>
    <w:rsid w:val="759D3E3D"/>
    <w:rsid w:val="76BE2477"/>
    <w:rsid w:val="76FF1B66"/>
    <w:rsid w:val="771EE438"/>
    <w:rsid w:val="775B548D"/>
    <w:rsid w:val="775F631E"/>
    <w:rsid w:val="777F45FF"/>
    <w:rsid w:val="77DBC0FA"/>
    <w:rsid w:val="77FCA103"/>
    <w:rsid w:val="77FDFDE3"/>
    <w:rsid w:val="792B0818"/>
    <w:rsid w:val="79FB6180"/>
    <w:rsid w:val="7A7A925F"/>
    <w:rsid w:val="7A7FBABD"/>
    <w:rsid w:val="7AEF55EE"/>
    <w:rsid w:val="7AFF5252"/>
    <w:rsid w:val="7AFFDCCF"/>
    <w:rsid w:val="7AFFF103"/>
    <w:rsid w:val="7B20533A"/>
    <w:rsid w:val="7B5FD781"/>
    <w:rsid w:val="7BD73B5E"/>
    <w:rsid w:val="7BE0EEF2"/>
    <w:rsid w:val="7BFEB419"/>
    <w:rsid w:val="7BFF2B99"/>
    <w:rsid w:val="7BFFBC85"/>
    <w:rsid w:val="7CBD5743"/>
    <w:rsid w:val="7CDFFDD9"/>
    <w:rsid w:val="7CFDB9C6"/>
    <w:rsid w:val="7D9B2666"/>
    <w:rsid w:val="7DBF69F8"/>
    <w:rsid w:val="7DBF9335"/>
    <w:rsid w:val="7DD40E79"/>
    <w:rsid w:val="7DD7C84D"/>
    <w:rsid w:val="7DDD8B57"/>
    <w:rsid w:val="7DE6E898"/>
    <w:rsid w:val="7DEF25F2"/>
    <w:rsid w:val="7DEFF264"/>
    <w:rsid w:val="7DF77411"/>
    <w:rsid w:val="7E7E07BF"/>
    <w:rsid w:val="7E7F27B6"/>
    <w:rsid w:val="7EA7C483"/>
    <w:rsid w:val="7EBB7560"/>
    <w:rsid w:val="7EDBEBE5"/>
    <w:rsid w:val="7EDDAFE0"/>
    <w:rsid w:val="7EFBF0CA"/>
    <w:rsid w:val="7F2DDACB"/>
    <w:rsid w:val="7F76DAC4"/>
    <w:rsid w:val="7F8DB0A6"/>
    <w:rsid w:val="7FAFDF74"/>
    <w:rsid w:val="7FBF2EDF"/>
    <w:rsid w:val="7FCD2CC2"/>
    <w:rsid w:val="7FCD82AD"/>
    <w:rsid w:val="7FD747C4"/>
    <w:rsid w:val="7FD7CB4E"/>
    <w:rsid w:val="7FDEDFB6"/>
    <w:rsid w:val="7FEB2321"/>
    <w:rsid w:val="7FEC9006"/>
    <w:rsid w:val="7FF6FB2F"/>
    <w:rsid w:val="7FF85AB5"/>
    <w:rsid w:val="7FF93343"/>
    <w:rsid w:val="7FFBA71A"/>
    <w:rsid w:val="7FFC513A"/>
    <w:rsid w:val="7FFD0196"/>
    <w:rsid w:val="7FFF01CB"/>
    <w:rsid w:val="7FFF060C"/>
    <w:rsid w:val="7FFFAB5F"/>
    <w:rsid w:val="876F5C19"/>
    <w:rsid w:val="8FF75A66"/>
    <w:rsid w:val="97F9DD0C"/>
    <w:rsid w:val="9B6BD6FC"/>
    <w:rsid w:val="9BFFCEBD"/>
    <w:rsid w:val="9D7979C8"/>
    <w:rsid w:val="9F3E54DF"/>
    <w:rsid w:val="A7CD3833"/>
    <w:rsid w:val="AAEBB4D3"/>
    <w:rsid w:val="ABBF978C"/>
    <w:rsid w:val="AE2F2CF7"/>
    <w:rsid w:val="AEF22383"/>
    <w:rsid w:val="AEFD1B10"/>
    <w:rsid w:val="AEFFF012"/>
    <w:rsid w:val="AF6160A9"/>
    <w:rsid w:val="AF6D9F0D"/>
    <w:rsid w:val="AF9E6F48"/>
    <w:rsid w:val="AFD95F15"/>
    <w:rsid w:val="AFFF695D"/>
    <w:rsid w:val="AFFFD2E0"/>
    <w:rsid w:val="B296B8C7"/>
    <w:rsid w:val="B3B74679"/>
    <w:rsid w:val="B4F7F74E"/>
    <w:rsid w:val="B7DEF3BB"/>
    <w:rsid w:val="BBF94B08"/>
    <w:rsid w:val="BD6393F3"/>
    <w:rsid w:val="BE1E46B3"/>
    <w:rsid w:val="BEA3C097"/>
    <w:rsid w:val="BF7FE410"/>
    <w:rsid w:val="BF8F9D40"/>
    <w:rsid w:val="BF982343"/>
    <w:rsid w:val="BFD5F8C2"/>
    <w:rsid w:val="BFDF2994"/>
    <w:rsid w:val="BFDF4CCC"/>
    <w:rsid w:val="BFE74685"/>
    <w:rsid w:val="BFF7ACA9"/>
    <w:rsid w:val="BFFCFC73"/>
    <w:rsid w:val="BFFEE115"/>
    <w:rsid w:val="BFFFC7D1"/>
    <w:rsid w:val="C5AB6134"/>
    <w:rsid w:val="C64FB3AF"/>
    <w:rsid w:val="C7378794"/>
    <w:rsid w:val="CC3BE352"/>
    <w:rsid w:val="CDF7DE81"/>
    <w:rsid w:val="CDFF0DE8"/>
    <w:rsid w:val="CE5FDC58"/>
    <w:rsid w:val="CF3F0CD9"/>
    <w:rsid w:val="D2BF5DFE"/>
    <w:rsid w:val="D2D13C36"/>
    <w:rsid w:val="D717BE77"/>
    <w:rsid w:val="D9CB5F41"/>
    <w:rsid w:val="DDBFE01E"/>
    <w:rsid w:val="DDED3B6B"/>
    <w:rsid w:val="DDEFEEF0"/>
    <w:rsid w:val="DE2C241A"/>
    <w:rsid w:val="DEDEBB32"/>
    <w:rsid w:val="DEFB2E1C"/>
    <w:rsid w:val="DF3FCF31"/>
    <w:rsid w:val="DF6F4DEB"/>
    <w:rsid w:val="DFBFA72C"/>
    <w:rsid w:val="DFDBD6B1"/>
    <w:rsid w:val="DFF4E035"/>
    <w:rsid w:val="DFF72D6A"/>
    <w:rsid w:val="DFFBC053"/>
    <w:rsid w:val="DFFFA31C"/>
    <w:rsid w:val="E3C91A49"/>
    <w:rsid w:val="E53F4962"/>
    <w:rsid w:val="E5771BCE"/>
    <w:rsid w:val="E5FFD6BF"/>
    <w:rsid w:val="E9691341"/>
    <w:rsid w:val="EBFFDBF2"/>
    <w:rsid w:val="ECCFDD7D"/>
    <w:rsid w:val="EDBF02A6"/>
    <w:rsid w:val="EE2FD9CD"/>
    <w:rsid w:val="EE9FC18B"/>
    <w:rsid w:val="EED7D1F5"/>
    <w:rsid w:val="EFD9DA74"/>
    <w:rsid w:val="EFE6608F"/>
    <w:rsid w:val="EFEFC8A4"/>
    <w:rsid w:val="EFF6E40D"/>
    <w:rsid w:val="EFFF4A5C"/>
    <w:rsid w:val="F32768D5"/>
    <w:rsid w:val="F377C0AD"/>
    <w:rsid w:val="F3ADB777"/>
    <w:rsid w:val="F3B9B030"/>
    <w:rsid w:val="F3BF4C15"/>
    <w:rsid w:val="F4AAFCC3"/>
    <w:rsid w:val="F581E6D1"/>
    <w:rsid w:val="F5938D69"/>
    <w:rsid w:val="F5F7CB1D"/>
    <w:rsid w:val="F6FB5CDC"/>
    <w:rsid w:val="F6FF54B1"/>
    <w:rsid w:val="F7675E9F"/>
    <w:rsid w:val="F7997858"/>
    <w:rsid w:val="F7A9A028"/>
    <w:rsid w:val="F7CF98D3"/>
    <w:rsid w:val="F7FF15A5"/>
    <w:rsid w:val="F7FFCA03"/>
    <w:rsid w:val="F7FFE133"/>
    <w:rsid w:val="F7FFE8B5"/>
    <w:rsid w:val="F96C3D13"/>
    <w:rsid w:val="F9FCE0D1"/>
    <w:rsid w:val="F9FD9D14"/>
    <w:rsid w:val="FAB6A9F4"/>
    <w:rsid w:val="FB324162"/>
    <w:rsid w:val="FB76FDC8"/>
    <w:rsid w:val="FB7DBC82"/>
    <w:rsid w:val="FB7FCF33"/>
    <w:rsid w:val="FBAC5F90"/>
    <w:rsid w:val="FBE540FA"/>
    <w:rsid w:val="FBFC5B3B"/>
    <w:rsid w:val="FCE74881"/>
    <w:rsid w:val="FCEF2F23"/>
    <w:rsid w:val="FCFF7388"/>
    <w:rsid w:val="FD255A9A"/>
    <w:rsid w:val="FD3F5DA2"/>
    <w:rsid w:val="FD3FEC57"/>
    <w:rsid w:val="FD5C2E86"/>
    <w:rsid w:val="FDBDC9F0"/>
    <w:rsid w:val="FDC3E81C"/>
    <w:rsid w:val="FDC72171"/>
    <w:rsid w:val="FDD33CA0"/>
    <w:rsid w:val="FDEF0D34"/>
    <w:rsid w:val="FDF5FA8D"/>
    <w:rsid w:val="FDFDD6EC"/>
    <w:rsid w:val="FE5DC282"/>
    <w:rsid w:val="FEB9F86A"/>
    <w:rsid w:val="FEBF6E90"/>
    <w:rsid w:val="FEE3FEEB"/>
    <w:rsid w:val="FEEFD665"/>
    <w:rsid w:val="FF09171A"/>
    <w:rsid w:val="FF3F35B6"/>
    <w:rsid w:val="FF5DD6EC"/>
    <w:rsid w:val="FF765A8E"/>
    <w:rsid w:val="FF7FC2DE"/>
    <w:rsid w:val="FF8F2E37"/>
    <w:rsid w:val="FFBD55BF"/>
    <w:rsid w:val="FFBF1582"/>
    <w:rsid w:val="FFBFFD23"/>
    <w:rsid w:val="FFCDCFC0"/>
    <w:rsid w:val="FFD53757"/>
    <w:rsid w:val="FFDD3A84"/>
    <w:rsid w:val="FFDEA437"/>
    <w:rsid w:val="FFE5980A"/>
    <w:rsid w:val="FFE8501C"/>
    <w:rsid w:val="FFF1CF28"/>
    <w:rsid w:val="FFF3091F"/>
    <w:rsid w:val="FFF464A3"/>
    <w:rsid w:val="FFF74FFB"/>
    <w:rsid w:val="FFFE0DFA"/>
    <w:rsid w:val="FFFF6953"/>
    <w:rsid w:val="FFFF79B9"/>
    <w:rsid w:val="FFFFD9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line="560" w:lineRule="exact"/>
      <w:jc w:val="left"/>
      <w:outlineLvl w:val="0"/>
    </w:pPr>
    <w:rPr>
      <w:rFonts w:eastAsia="黑体" w:asciiTheme="minorHAnsi" w:hAnsiTheme="minorHAnsi" w:cstheme="minorBidi"/>
      <w:bCs/>
      <w:kern w:val="0"/>
      <w:sz w:val="32"/>
      <w:szCs w:val="44"/>
    </w:rPr>
  </w:style>
  <w:style w:type="paragraph" w:styleId="4">
    <w:name w:val="heading 2"/>
    <w:basedOn w:val="1"/>
    <w:next w:val="1"/>
    <w:link w:val="20"/>
    <w:unhideWhenUsed/>
    <w:qFormat/>
    <w:uiPriority w:val="9"/>
    <w:pPr>
      <w:spacing w:line="560" w:lineRule="exact"/>
      <w:ind w:left="300" w:leftChars="300"/>
      <w:jc w:val="left"/>
      <w:outlineLvl w:val="1"/>
    </w:pPr>
    <w:rPr>
      <w:rFonts w:eastAsia="楷体_GB2312" w:asciiTheme="majorHAnsi" w:hAnsiTheme="majorHAnsi" w:cstheme="majorBidi"/>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700" w:rightChars="700"/>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7"/>
    <w:qFormat/>
    <w:uiPriority w:val="99"/>
    <w:rPr>
      <w:sz w:val="18"/>
      <w:szCs w:val="18"/>
    </w:rPr>
  </w:style>
  <w:style w:type="character" w:customStyle="1" w:styleId="15">
    <w:name w:val="页脚 Char"/>
    <w:basedOn w:val="13"/>
    <w:link w:val="6"/>
    <w:qFormat/>
    <w:uiPriority w:val="99"/>
    <w:rPr>
      <w:sz w:val="18"/>
      <w:szCs w:val="18"/>
    </w:rPr>
  </w:style>
  <w:style w:type="paragraph" w:customStyle="1" w:styleId="16">
    <w:name w:val="大标题"/>
    <w:basedOn w:val="1"/>
    <w:qFormat/>
    <w:uiPriority w:val="0"/>
    <w:pPr>
      <w:spacing w:line="600" w:lineRule="exact"/>
      <w:ind w:left="340" w:right="340"/>
      <w:jc w:val="center"/>
    </w:pPr>
    <w:rPr>
      <w:sz w:val="44"/>
      <w:szCs w:val="20"/>
    </w:rPr>
  </w:style>
  <w:style w:type="character" w:customStyle="1" w:styleId="17">
    <w:name w:val="批注框文本 Char"/>
    <w:basedOn w:val="13"/>
    <w:link w:val="5"/>
    <w:semiHidden/>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标题 1 Char"/>
    <w:basedOn w:val="13"/>
    <w:link w:val="3"/>
    <w:qFormat/>
    <w:uiPriority w:val="9"/>
    <w:rPr>
      <w:rFonts w:eastAsia="黑体"/>
      <w:bCs/>
      <w:kern w:val="0"/>
      <w:sz w:val="32"/>
      <w:szCs w:val="44"/>
    </w:rPr>
  </w:style>
  <w:style w:type="character" w:customStyle="1" w:styleId="20">
    <w:name w:val="标题 2 Char"/>
    <w:basedOn w:val="13"/>
    <w:link w:val="4"/>
    <w:qFormat/>
    <w:uiPriority w:val="9"/>
    <w:rPr>
      <w:rFonts w:eastAsia="楷体_GB2312" w:asciiTheme="majorHAnsi" w:hAnsiTheme="majorHAnsi" w:cstheme="majorBidi"/>
      <w:bCs/>
      <w:sz w:val="32"/>
      <w:szCs w:val="32"/>
    </w:rPr>
  </w:style>
  <w:style w:type="character" w:customStyle="1" w:styleId="21">
    <w:name w:val="font11"/>
    <w:basedOn w:val="13"/>
    <w:qFormat/>
    <w:uiPriority w:val="0"/>
    <w:rPr>
      <w:rFonts w:hint="eastAsia" w:ascii="仿宋_GB2312" w:eastAsia="仿宋_GB2312" w:cs="仿宋_GB2312"/>
      <w:b/>
      <w:bCs/>
      <w:color w:val="000000"/>
      <w:sz w:val="24"/>
      <w:szCs w:val="24"/>
      <w:u w:val="none"/>
    </w:rPr>
  </w:style>
  <w:style w:type="character" w:customStyle="1" w:styleId="22">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3">
    <w:name w:val="font21"/>
    <w:basedOn w:val="13"/>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8244</Words>
  <Characters>8429</Characters>
  <Lines>139</Lines>
  <Paragraphs>39</Paragraphs>
  <TotalTime>19</TotalTime>
  <ScaleCrop>false</ScaleCrop>
  <LinksUpToDate>false</LinksUpToDate>
  <CharactersWithSpaces>8440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2024-08-25T22:47:00Z</dcterms:created>
  <dc:creator>john</dc:creator>
  <cp:lastModifiedBy>奇</cp:lastModifiedBy>
  <cp:lastPrinted>2024-08-26T04:20:00Z</cp:lastPrinted>
  <dcterms:modified xsi:type="dcterms:W3CDTF">2026-05-11T01:26:36Z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AED532B35BDD4D5EA56B327F00DDA3AD_13</vt:lpwstr>
  </property>
  <property fmtid="{D5CDD505-2E9C-101B-9397-08002B2CF9AE}" pid="4" name="KSOTemplateDocerSaveRecord">
    <vt:lpwstr>eyJoZGlkIjoiYmJiOTFhZjA4Njg4YmJhMDlhOTE1ZWU4ZWIxMmE4MTUiLCJ1c2VySWQiOiI0OTAwNjYxMjcifQ==</vt:lpwstr>
  </property>
</Properties>
</file>