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left"/>
        <w:rPr>
          <w:rFonts w:ascii="黑体" w:hAnsi="黑体" w:eastAsia="黑体" w:cs="黑体"/>
          <w:b w:val="0"/>
          <w:bCs w:val="0"/>
          <w:sz w:val="32"/>
          <w:szCs w:val="40"/>
        </w:rPr>
      </w:pPr>
      <w:bookmarkStart w:id="0" w:name="_GoBack"/>
      <w:bookmarkEnd w:id="0"/>
    </w:p>
    <w:p>
      <w:pPr>
        <w:pStyle w:val="2"/>
        <w:rPr>
          <w:rFonts w:ascii="黑体" w:hAnsi="黑体" w:eastAsia="黑体"/>
          <w:sz w:val="24"/>
        </w:rPr>
      </w:pPr>
      <w:r>
        <w:rPr>
          <w:rFonts w:hint="eastAsia" w:ascii="方正小标宋_GBK" w:hAnsi="方正小标宋_GBK" w:eastAsia="方正小标宋_GBK" w:cs="方正小标宋_GBK"/>
          <w:b w:val="0"/>
          <w:bCs w:val="0"/>
        </w:rPr>
        <w:t>中华老字号示范创建评价指标</w:t>
      </w:r>
    </w:p>
    <w:tbl>
      <w:tblPr>
        <w:tblStyle w:val="6"/>
        <w:tblpPr w:leftFromText="180" w:rightFromText="180" w:vertAnchor="text" w:tblpXSpec="center" w:tblpY="1"/>
        <w:tblOverlap w:val="never"/>
        <w:tblW w:w="14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339"/>
        <w:gridCol w:w="1450"/>
        <w:gridCol w:w="5387"/>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757" w:type="dxa"/>
            <w:gridSpan w:val="4"/>
            <w:tcBorders>
              <w:bottom w:val="single" w:color="auto" w:sz="4" w:space="0"/>
            </w:tcBorders>
            <w:shd w:val="clear" w:color="auto" w:fill="FFFFFF" w:themeFill="background1"/>
            <w:vAlign w:val="center"/>
          </w:tcPr>
          <w:p>
            <w:pPr>
              <w:widowControl/>
              <w:rPr>
                <w:rFonts w:ascii="宋体" w:hAnsi="宋体"/>
                <w:color w:val="000000"/>
                <w:sz w:val="18"/>
                <w:szCs w:val="18"/>
              </w:rPr>
            </w:pPr>
            <w:r>
              <w:rPr>
                <w:rFonts w:hint="eastAsia" w:ascii="黑体" w:hAnsi="黑体" w:eastAsia="黑体"/>
                <w:b/>
                <w:color w:val="000000"/>
                <w:sz w:val="24"/>
              </w:rPr>
              <w:t>一、历史文化</w:t>
            </w:r>
            <w:r>
              <w:rPr>
                <w:rFonts w:hint="eastAsia" w:ascii="黑体" w:hAnsi="黑体" w:eastAsia="黑体"/>
                <w:b/>
                <w:color w:val="000000"/>
                <w:sz w:val="24"/>
                <w:lang w:eastAsia="zh-CN"/>
              </w:rPr>
              <w:t>深厚</w:t>
            </w:r>
            <w:r>
              <w:rPr>
                <w:rFonts w:hint="eastAsia" w:ascii="黑体" w:hAnsi="黑体" w:eastAsia="黑体"/>
                <w:b/>
                <w:color w:val="000000"/>
                <w:sz w:val="24"/>
              </w:rPr>
              <w:t>（38分）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0" w:hRule="atLeast"/>
        </w:trPr>
        <w:tc>
          <w:tcPr>
            <w:tcW w:w="1339"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一级指标</w:t>
            </w:r>
          </w:p>
        </w:tc>
        <w:tc>
          <w:tcPr>
            <w:tcW w:w="1450"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二级指标</w:t>
            </w:r>
          </w:p>
        </w:tc>
        <w:tc>
          <w:tcPr>
            <w:tcW w:w="5387"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评分标准</w:t>
            </w:r>
          </w:p>
        </w:tc>
        <w:tc>
          <w:tcPr>
            <w:tcW w:w="6581"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2" w:hRule="atLeast"/>
        </w:trPr>
        <w:tc>
          <w:tcPr>
            <w:tcW w:w="1339" w:type="dxa"/>
            <w:vMerge w:val="restart"/>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rPr>
              <w:t>历史底蕴</w:t>
            </w:r>
            <w:r>
              <w:rPr>
                <w:rFonts w:hint="eastAsia" w:ascii="宋体" w:hAnsi="宋体"/>
                <w:b/>
                <w:color w:val="000000"/>
                <w:kern w:val="0"/>
                <w:sz w:val="18"/>
                <w:szCs w:val="18"/>
                <w:lang w:eastAsia="zh-CN"/>
              </w:rPr>
              <w:t>浓郁</w:t>
            </w:r>
          </w:p>
          <w:p>
            <w:pPr>
              <w:jc w:val="center"/>
              <w:rPr>
                <w:rFonts w:ascii="宋体" w:hAnsi="宋体"/>
                <w:b/>
                <w:color w:val="000000"/>
                <w:kern w:val="0"/>
                <w:sz w:val="18"/>
                <w:szCs w:val="18"/>
              </w:rPr>
            </w:pPr>
            <w:r>
              <w:rPr>
                <w:rFonts w:hint="eastAsia" w:ascii="宋体" w:hAnsi="宋体"/>
                <w:b/>
                <w:color w:val="000000"/>
                <w:kern w:val="0"/>
                <w:sz w:val="18"/>
                <w:szCs w:val="18"/>
              </w:rPr>
              <w:t>（11分）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创立时间</w:t>
            </w:r>
            <w:r>
              <w:rPr>
                <w:rFonts w:hint="eastAsia" w:ascii="宋体" w:hAnsi="宋体"/>
                <w:b/>
                <w:color w:val="000000"/>
                <w:kern w:val="0"/>
                <w:sz w:val="18"/>
                <w:szCs w:val="18"/>
                <w:lang w:val="en-US" w:eastAsia="zh-Hans"/>
              </w:rPr>
              <w:t>悠久</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品牌创立时间在</w:t>
            </w:r>
            <w:r>
              <w:rPr>
                <w:rFonts w:ascii="宋体" w:hAnsi="宋体"/>
                <w:color w:val="000000"/>
                <w:kern w:val="0"/>
                <w:sz w:val="18"/>
                <w:szCs w:val="18"/>
              </w:rPr>
              <w:t>50</w:t>
            </w:r>
            <w:r>
              <w:rPr>
                <w:rFonts w:hint="eastAsia" w:ascii="宋体" w:hAnsi="宋体"/>
                <w:color w:val="000000"/>
                <w:kern w:val="0"/>
                <w:sz w:val="18"/>
                <w:szCs w:val="18"/>
              </w:rPr>
              <w:t>年（含）以上。（3分）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品牌创立时间在5</w:t>
            </w:r>
            <w:r>
              <w:rPr>
                <w:rFonts w:ascii="宋体" w:hAnsi="宋体"/>
                <w:color w:val="000000"/>
                <w:kern w:val="0"/>
                <w:sz w:val="18"/>
                <w:szCs w:val="18"/>
              </w:rPr>
              <w:t>0</w:t>
            </w:r>
            <w:r>
              <w:rPr>
                <w:rFonts w:hint="eastAsia" w:ascii="宋体" w:hAnsi="宋体"/>
                <w:color w:val="000000"/>
                <w:kern w:val="0"/>
                <w:sz w:val="18"/>
                <w:szCs w:val="18"/>
              </w:rPr>
              <w:t>-6</w:t>
            </w:r>
            <w:r>
              <w:rPr>
                <w:rFonts w:ascii="宋体" w:hAnsi="宋体"/>
                <w:color w:val="000000"/>
                <w:kern w:val="0"/>
                <w:sz w:val="18"/>
                <w:szCs w:val="18"/>
              </w:rPr>
              <w:t>0</w:t>
            </w:r>
            <w:r>
              <w:rPr>
                <w:rFonts w:hint="eastAsia" w:ascii="宋体" w:hAnsi="宋体"/>
                <w:color w:val="000000"/>
                <w:kern w:val="0"/>
                <w:sz w:val="18"/>
                <w:szCs w:val="18"/>
              </w:rPr>
              <w:t>年（含）（1分）；品牌时间在</w:t>
            </w:r>
            <w:r>
              <w:rPr>
                <w:rFonts w:ascii="宋体" w:hAnsi="宋体"/>
                <w:color w:val="000000"/>
                <w:kern w:val="0"/>
                <w:sz w:val="18"/>
                <w:szCs w:val="18"/>
              </w:rPr>
              <w:t>60</w:t>
            </w:r>
            <w:r>
              <w:rPr>
                <w:rFonts w:hint="eastAsia" w:ascii="宋体" w:hAnsi="宋体"/>
                <w:color w:val="000000"/>
                <w:kern w:val="0"/>
                <w:sz w:val="18"/>
                <w:szCs w:val="18"/>
              </w:rPr>
              <w:t>-</w:t>
            </w:r>
            <w:r>
              <w:rPr>
                <w:rFonts w:ascii="宋体" w:hAnsi="宋体"/>
                <w:color w:val="000000"/>
                <w:kern w:val="0"/>
                <w:sz w:val="18"/>
                <w:szCs w:val="18"/>
              </w:rPr>
              <w:t>100</w:t>
            </w:r>
            <w:r>
              <w:rPr>
                <w:rFonts w:hint="eastAsia" w:ascii="宋体" w:hAnsi="宋体"/>
                <w:color w:val="000000"/>
                <w:kern w:val="0"/>
                <w:sz w:val="18"/>
                <w:szCs w:val="18"/>
              </w:rPr>
              <w:t>年（含）（2分）；品牌创立时间</w:t>
            </w:r>
            <w:r>
              <w:rPr>
                <w:rFonts w:ascii="宋体" w:hAnsi="宋体"/>
                <w:color w:val="000000"/>
                <w:kern w:val="0"/>
                <w:sz w:val="18"/>
                <w:szCs w:val="18"/>
              </w:rPr>
              <w:t>100</w:t>
            </w:r>
            <w:r>
              <w:rPr>
                <w:rFonts w:hint="eastAsia" w:ascii="宋体" w:hAnsi="宋体"/>
                <w:color w:val="000000"/>
                <w:kern w:val="0"/>
                <w:sz w:val="18"/>
                <w:szCs w:val="18"/>
              </w:rPr>
              <w:t>年以上（3分）。不重复得分。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813" w:hRule="atLeast"/>
        </w:trPr>
        <w:tc>
          <w:tcPr>
            <w:tcW w:w="1339" w:type="dxa"/>
            <w:vMerge w:val="continue"/>
            <w:shd w:val="clear" w:color="auto" w:fill="FFFFFF" w:themeFill="background1"/>
            <w:vAlign w:val="center"/>
          </w:tcPr>
          <w:p>
            <w:pPr>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rPr>
              <w:t>原址保护</w:t>
            </w:r>
            <w:r>
              <w:rPr>
                <w:rFonts w:hint="eastAsia" w:ascii="宋体" w:hAnsi="宋体"/>
                <w:b/>
                <w:color w:val="000000"/>
                <w:kern w:val="0"/>
                <w:sz w:val="18"/>
                <w:szCs w:val="18"/>
                <w:lang w:val="en-US" w:eastAsia="zh-Hans"/>
              </w:rPr>
              <w:t>完整</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有塑造历史记忆、民族特色和文化传承的建筑或设施，生产经营场所被认定为文物保护单位。（5分）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生产经营场所被列为全国重点文物保护单位（5分）；生产经营场所被列为省级文物保护单位（4分）；生产经营场所被列为市级文物保护单位（3分）；生产经营场所被列为县级文物保护单位（2分）；生产经营场所被列为未核定为文物保护单位的不可移动文物或历史建筑（1分）。同时被列入以上各级的，按列入的最高层级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1339" w:type="dxa"/>
            <w:vMerge w:val="continue"/>
            <w:shd w:val="clear" w:color="auto" w:fill="FFFFFF" w:themeFill="background1"/>
            <w:vAlign w:val="center"/>
          </w:tcPr>
          <w:p>
            <w:pPr>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rPr>
              <w:t>历史价值</w:t>
            </w:r>
            <w:r>
              <w:rPr>
                <w:rFonts w:hint="eastAsia" w:ascii="宋体" w:hAnsi="宋体"/>
                <w:b/>
                <w:color w:val="000000"/>
                <w:kern w:val="0"/>
                <w:sz w:val="18"/>
                <w:szCs w:val="18"/>
                <w:lang w:val="en-US" w:eastAsia="zh-CN"/>
              </w:rPr>
              <w:t>突出</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具有突出的历史文化价值、较高的建筑艺术价值、体现一定的科学技术价值或其他价值特色的建筑。（3分）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与重要历史事件、历史名人相关联，在城市发展与建设史、行业发展史上具有代表性或历史文化意义（1分）；反映一定时期的建筑设计风格，建筑样式与细部等具有一定的艺术特色和价值，反映所在地域或民族的建筑艺术特点（1分）；在城市或乡村一定地域内具有标志性或象征性，具有群体心理认同感（1分）。每符合一项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88" w:hRule="atLeast"/>
        </w:trPr>
        <w:tc>
          <w:tcPr>
            <w:tcW w:w="1339" w:type="dxa"/>
            <w:vMerge w:val="restart"/>
            <w:shd w:val="clear" w:color="auto" w:fill="FFFFFF" w:themeFill="background1"/>
            <w:vAlign w:val="center"/>
          </w:tcPr>
          <w:p>
            <w:pPr>
              <w:jc w:val="center"/>
              <w:rPr>
                <w:rFonts w:ascii="宋体" w:hAnsi="宋体"/>
                <w:b/>
                <w:color w:val="000000"/>
                <w:kern w:val="0"/>
                <w:sz w:val="18"/>
                <w:szCs w:val="18"/>
              </w:rPr>
            </w:pPr>
            <w:r>
              <w:rPr>
                <w:rFonts w:hint="eastAsia" w:ascii="宋体" w:hAnsi="宋体"/>
                <w:b/>
                <w:color w:val="000000"/>
                <w:kern w:val="0"/>
                <w:sz w:val="18"/>
                <w:szCs w:val="18"/>
                <w:lang w:eastAsia="zh-CN"/>
              </w:rPr>
              <w:t>文化传承有力</w:t>
            </w:r>
            <w:r>
              <w:rPr>
                <w:rFonts w:hint="eastAsia" w:ascii="宋体" w:hAnsi="宋体"/>
                <w:b/>
                <w:color w:val="000000"/>
                <w:kern w:val="0"/>
                <w:sz w:val="18"/>
                <w:szCs w:val="18"/>
              </w:rPr>
              <w:t>（15分）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 w:eastAsia="zh-CN"/>
              </w:rPr>
            </w:pPr>
            <w:r>
              <w:rPr>
                <w:rFonts w:hint="eastAsia" w:ascii="宋体" w:hAnsi="宋体"/>
                <w:b/>
                <w:color w:val="000000"/>
                <w:kern w:val="0"/>
                <w:sz w:val="18"/>
                <w:szCs w:val="18"/>
                <w:lang w:val="en-US" w:eastAsia="zh-CN"/>
              </w:rPr>
              <w:t>技艺传承有序</w:t>
            </w:r>
          </w:p>
        </w:tc>
        <w:tc>
          <w:tcPr>
            <w:tcW w:w="5387" w:type="dxa"/>
            <w:shd w:val="clear" w:color="auto" w:fill="FFFFFF" w:themeFill="background1"/>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相关文化或技艺等被列入非物质文化遗产名录情况。（5分）</w:t>
            </w:r>
          </w:p>
        </w:tc>
        <w:tc>
          <w:tcPr>
            <w:tcW w:w="6581" w:type="dxa"/>
            <w:shd w:val="clear" w:color="auto" w:fill="FFFFFF" w:themeFill="background1"/>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相关文化或技艺等被列入国家级非物质文化遗产代表性项目名录、联合国教科文组织非物质文化遗产名录（名册）（5分）；相关文化或技艺等被列入省级非物质文化遗产代表性项目名录（3分）；相关文化或技艺等被列入市县级非物质文化遗产代表性项目名录（1分）。同时被列入以上各级名录的，按列入的最高层级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57"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b/>
                <w:color w:val="000000"/>
                <w:kern w:val="0"/>
                <w:sz w:val="18"/>
                <w:szCs w:val="18"/>
              </w:rPr>
            </w:pPr>
            <w:r>
              <w:rPr>
                <w:rFonts w:hint="eastAsia" w:ascii="宋体" w:hAnsi="宋体"/>
                <w:b/>
                <w:color w:val="000000"/>
                <w:kern w:val="0"/>
                <w:sz w:val="18"/>
                <w:szCs w:val="18"/>
              </w:rPr>
              <w:t>可移动文物</w:t>
            </w:r>
          </w:p>
          <w:p>
            <w:pPr>
              <w:widowControl/>
              <w:jc w:val="center"/>
              <w:rPr>
                <w:rFonts w:hint="eastAsia" w:ascii="宋体" w:hAnsi="宋体" w:eastAsia="宋体" w:cs="黑体"/>
                <w:b/>
                <w:color w:val="000000"/>
                <w:kern w:val="0"/>
                <w:sz w:val="18"/>
                <w:szCs w:val="18"/>
                <w:lang w:val="en" w:eastAsia="zh-CN"/>
              </w:rPr>
            </w:pPr>
            <w:r>
              <w:rPr>
                <w:rFonts w:hint="eastAsia" w:ascii="宋体" w:hAnsi="宋体"/>
                <w:b/>
                <w:color w:val="000000"/>
                <w:kern w:val="0"/>
                <w:sz w:val="18"/>
                <w:szCs w:val="18"/>
                <w:lang w:eastAsia="zh-CN"/>
              </w:rPr>
              <w:t>保护得当</w:t>
            </w:r>
          </w:p>
        </w:tc>
        <w:tc>
          <w:tcPr>
            <w:tcW w:w="5387"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具有一定历史价值的重要实物、艺术品、文献、手稿、图书资料、代表性实物等珍贵文物或一般文物。（4分）</w:t>
            </w:r>
          </w:p>
        </w:tc>
        <w:tc>
          <w:tcPr>
            <w:tcW w:w="6581"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具有一定历史价值的重要实物、艺术品、文献、手稿、图书资料、代表性实物等珍贵文物（3分）；具有一定历史价值的重要实物、艺术品、文献、手稿、图书资料、代表性实物等一般文物（1分）。每符合一项得1分，最多得</w:t>
            </w:r>
            <w:r>
              <w:rPr>
                <w:rFonts w:ascii="宋体" w:hAnsi="宋体"/>
                <w:color w:val="000000"/>
                <w:kern w:val="0"/>
                <w:sz w:val="18"/>
                <w:szCs w:val="18"/>
              </w:rPr>
              <w:t>4</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81"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lang w:eastAsia="zh-CN"/>
              </w:rPr>
              <w:t>传承</w:t>
            </w:r>
            <w:r>
              <w:rPr>
                <w:rFonts w:hint="eastAsia" w:ascii="宋体" w:hAnsi="宋体"/>
                <w:b/>
                <w:color w:val="000000"/>
                <w:kern w:val="0"/>
                <w:sz w:val="18"/>
                <w:szCs w:val="18"/>
              </w:rPr>
              <w:t>载体</w:t>
            </w:r>
            <w:r>
              <w:rPr>
                <w:rFonts w:hint="eastAsia" w:ascii="宋体" w:hAnsi="宋体"/>
                <w:b/>
                <w:color w:val="000000"/>
                <w:kern w:val="0"/>
                <w:sz w:val="18"/>
                <w:szCs w:val="18"/>
                <w:lang w:val="en-US" w:eastAsia="zh-Hans"/>
              </w:rPr>
              <w:t>丰富</w:t>
            </w:r>
          </w:p>
        </w:tc>
        <w:tc>
          <w:tcPr>
            <w:tcW w:w="5387" w:type="dxa"/>
            <w:shd w:val="clear" w:color="auto" w:fill="FFFFFF" w:themeFill="background1"/>
            <w:vAlign w:val="center"/>
          </w:tcPr>
          <w:p>
            <w:pPr>
              <w:widowControl/>
              <w:jc w:val="left"/>
              <w:rPr>
                <w:rFonts w:ascii="黑体" w:hAnsi="黑体" w:eastAsia="黑体"/>
                <w:color w:val="000000"/>
                <w:kern w:val="0"/>
                <w:szCs w:val="21"/>
              </w:rPr>
            </w:pPr>
            <w:r>
              <w:rPr>
                <w:rFonts w:hint="eastAsia" w:ascii="宋体" w:hAnsi="宋体"/>
                <w:color w:val="000000"/>
                <w:kern w:val="0"/>
                <w:sz w:val="18"/>
                <w:szCs w:val="18"/>
              </w:rPr>
              <w:t>建有体现品牌文化价值的博物馆、文化馆等。（4分）</w:t>
            </w:r>
          </w:p>
        </w:tc>
        <w:tc>
          <w:tcPr>
            <w:tcW w:w="6581" w:type="dxa"/>
            <w:shd w:val="clear" w:color="auto" w:fill="FFFFFF" w:themeFill="background1"/>
            <w:vAlign w:val="center"/>
          </w:tcPr>
          <w:p>
            <w:pPr>
              <w:widowControl/>
              <w:jc w:val="left"/>
              <w:rPr>
                <w:rFonts w:ascii="黑体" w:hAnsi="黑体" w:eastAsia="黑体"/>
                <w:color w:val="000000"/>
                <w:kern w:val="0"/>
                <w:szCs w:val="21"/>
              </w:rPr>
            </w:pPr>
            <w:r>
              <w:rPr>
                <w:rFonts w:hint="eastAsia" w:ascii="宋体" w:hAnsi="宋体"/>
                <w:color w:val="000000"/>
                <w:kern w:val="0"/>
                <w:sz w:val="18"/>
                <w:szCs w:val="18"/>
              </w:rPr>
              <w:t>相关部门认定的一级博物馆或一级文化馆（4分）；相关部门认定的二</w:t>
            </w:r>
            <w:r>
              <w:rPr>
                <w:rFonts w:hint="eastAsia" w:ascii="宋体" w:hAnsi="宋体"/>
                <w:color w:val="000000"/>
                <w:kern w:val="0"/>
                <w:sz w:val="18"/>
                <w:szCs w:val="18"/>
                <w:lang w:eastAsia="zh-CN"/>
              </w:rPr>
              <w:t>、三</w:t>
            </w:r>
            <w:r>
              <w:rPr>
                <w:rFonts w:hint="eastAsia" w:ascii="宋体" w:hAnsi="宋体"/>
                <w:color w:val="000000"/>
                <w:kern w:val="0"/>
                <w:sz w:val="18"/>
                <w:szCs w:val="18"/>
              </w:rPr>
              <w:t>级博物馆或二</w:t>
            </w:r>
            <w:r>
              <w:rPr>
                <w:rFonts w:hint="eastAsia" w:ascii="宋体" w:hAnsi="宋体"/>
                <w:color w:val="000000"/>
                <w:kern w:val="0"/>
                <w:sz w:val="18"/>
                <w:szCs w:val="18"/>
                <w:lang w:eastAsia="zh-CN"/>
              </w:rPr>
              <w:t>、三</w:t>
            </w:r>
            <w:r>
              <w:rPr>
                <w:rFonts w:hint="eastAsia" w:ascii="宋体" w:hAnsi="宋体"/>
                <w:color w:val="000000"/>
                <w:kern w:val="0"/>
                <w:sz w:val="18"/>
                <w:szCs w:val="18"/>
              </w:rPr>
              <w:t>级文化馆（3分）；建有专门的已经文物部门备案但未评定等级的博物馆或文化馆（2分）；建有专门的但未经</w:t>
            </w:r>
            <w:r>
              <w:rPr>
                <w:rFonts w:hint="eastAsia" w:ascii="宋体" w:hAnsi="宋体"/>
                <w:color w:val="000000"/>
                <w:kern w:val="0"/>
                <w:sz w:val="18"/>
                <w:szCs w:val="18"/>
                <w:lang w:eastAsia="zh-CN"/>
              </w:rPr>
              <w:t>文物</w:t>
            </w:r>
            <w:r>
              <w:rPr>
                <w:rFonts w:hint="eastAsia" w:ascii="宋体" w:hAnsi="宋体"/>
                <w:color w:val="000000"/>
                <w:kern w:val="0"/>
                <w:sz w:val="18"/>
                <w:szCs w:val="18"/>
              </w:rPr>
              <w:t>部门</w:t>
            </w:r>
            <w:r>
              <w:rPr>
                <w:rFonts w:hint="eastAsia" w:ascii="宋体" w:hAnsi="宋体"/>
                <w:color w:val="000000"/>
                <w:kern w:val="0"/>
                <w:sz w:val="18"/>
                <w:szCs w:val="18"/>
                <w:lang w:eastAsia="zh-CN"/>
              </w:rPr>
              <w:t>备案</w:t>
            </w:r>
            <w:r>
              <w:rPr>
                <w:rFonts w:hint="eastAsia" w:ascii="宋体" w:hAnsi="宋体"/>
                <w:color w:val="000000"/>
                <w:kern w:val="0"/>
                <w:sz w:val="18"/>
                <w:szCs w:val="18"/>
              </w:rPr>
              <w:t>的博物馆或文化馆（1分）。同时获得不同层级部门或机构颁发的荣誉的，按所获最高层部门或机构颁发的荣誉得分，不重复得分。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12"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理念</w:t>
            </w:r>
            <w:r>
              <w:rPr>
                <w:rFonts w:hint="eastAsia" w:ascii="宋体" w:hAnsi="宋体"/>
                <w:b/>
                <w:color w:val="000000"/>
                <w:kern w:val="0"/>
                <w:sz w:val="18"/>
                <w:szCs w:val="18"/>
                <w:lang w:eastAsia="zh-CN"/>
              </w:rPr>
              <w:t>影响</w:t>
            </w:r>
            <w:r>
              <w:rPr>
                <w:rFonts w:hint="eastAsia" w:ascii="宋体" w:hAnsi="宋体"/>
                <w:b/>
                <w:color w:val="000000"/>
                <w:kern w:val="0"/>
                <w:sz w:val="18"/>
                <w:szCs w:val="18"/>
                <w:lang w:val="en-US" w:eastAsia="zh-Hans"/>
              </w:rPr>
              <w:t>深远</w:t>
            </w:r>
          </w:p>
        </w:tc>
        <w:tc>
          <w:tcPr>
            <w:tcW w:w="5387" w:type="dxa"/>
            <w:shd w:val="clear" w:color="auto" w:fill="FFFFFF" w:themeFill="background1"/>
            <w:vAlign w:val="center"/>
          </w:tcPr>
          <w:p>
            <w:pPr>
              <w:rPr>
                <w:rFonts w:ascii="黑体" w:hAnsi="黑体" w:eastAsia="黑体"/>
                <w:color w:val="000000"/>
                <w:kern w:val="0"/>
                <w:szCs w:val="21"/>
              </w:rPr>
            </w:pPr>
            <w:r>
              <w:rPr>
                <w:rFonts w:hint="eastAsia" w:ascii="宋体" w:hAnsi="宋体"/>
                <w:color w:val="000000"/>
                <w:kern w:val="0"/>
                <w:sz w:val="18"/>
                <w:szCs w:val="18"/>
              </w:rPr>
              <w:t>具有历代传承的店训、堂训、师训、店规等文化资源，并组织典礼仪式等活动。（2分）</w:t>
            </w:r>
          </w:p>
        </w:tc>
        <w:tc>
          <w:tcPr>
            <w:tcW w:w="6581" w:type="dxa"/>
            <w:shd w:val="clear" w:color="auto" w:fill="FFFFFF" w:themeFill="background1"/>
            <w:vAlign w:val="center"/>
          </w:tcPr>
          <w:p>
            <w:pPr>
              <w:rPr>
                <w:rFonts w:ascii="黑体" w:hAnsi="黑体" w:eastAsia="黑体"/>
                <w:color w:val="000000"/>
                <w:kern w:val="0"/>
                <w:szCs w:val="21"/>
              </w:rPr>
            </w:pPr>
            <w:r>
              <w:rPr>
                <w:rFonts w:hint="eastAsia" w:ascii="宋体" w:hAnsi="宋体"/>
                <w:color w:val="000000"/>
                <w:kern w:val="0"/>
                <w:sz w:val="18"/>
                <w:szCs w:val="18"/>
              </w:rPr>
              <w:t>有历代传承且在社会上有一定影响力的典礼仪式等文化活动（1分）；有历代传承的店训、堂训、师训、店规等品牌文化（1分）。每符合一项得</w:t>
            </w:r>
            <w:r>
              <w:rPr>
                <w:rFonts w:ascii="宋体" w:hAnsi="宋体"/>
                <w:color w:val="000000"/>
                <w:kern w:val="0"/>
                <w:sz w:val="18"/>
                <w:szCs w:val="18"/>
              </w:rPr>
              <w:t>1</w:t>
            </w:r>
            <w:r>
              <w:rPr>
                <w:rFonts w:hint="eastAsia" w:ascii="宋体" w:hAnsi="宋体"/>
                <w:color w:val="000000"/>
                <w:kern w:val="0"/>
                <w:sz w:val="18"/>
                <w:szCs w:val="18"/>
              </w:rPr>
              <w:t>分，最多得</w:t>
            </w:r>
            <w:r>
              <w:rPr>
                <w:rFonts w:ascii="宋体" w:hAnsi="宋体"/>
                <w:color w:val="000000"/>
                <w:kern w:val="0"/>
                <w:sz w:val="18"/>
                <w:szCs w:val="18"/>
              </w:rPr>
              <w:t>2</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41" w:hRule="atLeast"/>
        </w:trPr>
        <w:tc>
          <w:tcPr>
            <w:tcW w:w="1339" w:type="dxa"/>
            <w:vMerge w:val="restart"/>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rPr>
              <w:t>品牌</w:t>
            </w:r>
            <w:r>
              <w:rPr>
                <w:rFonts w:hint="eastAsia" w:ascii="宋体" w:hAnsi="宋体"/>
                <w:b/>
                <w:color w:val="000000"/>
                <w:kern w:val="0"/>
                <w:sz w:val="18"/>
                <w:szCs w:val="18"/>
                <w:lang w:eastAsia="zh-CN"/>
              </w:rPr>
              <w:t>建设规范</w:t>
            </w:r>
          </w:p>
          <w:p>
            <w:pPr>
              <w:jc w:val="center"/>
              <w:rPr>
                <w:rFonts w:ascii="宋体" w:hAnsi="宋体"/>
                <w:b/>
                <w:color w:val="000000"/>
                <w:kern w:val="0"/>
                <w:sz w:val="18"/>
                <w:szCs w:val="18"/>
              </w:rPr>
            </w:pPr>
            <w:r>
              <w:rPr>
                <w:rFonts w:hint="eastAsia" w:ascii="宋体" w:hAnsi="宋体"/>
                <w:b/>
                <w:color w:val="000000"/>
                <w:kern w:val="0"/>
                <w:sz w:val="18"/>
                <w:szCs w:val="18"/>
              </w:rPr>
              <w:t>（12分）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lang w:val="en-US" w:eastAsia="zh-Hans"/>
              </w:rPr>
              <w:t>品牌</w:t>
            </w:r>
            <w:r>
              <w:rPr>
                <w:rFonts w:hint="eastAsia" w:ascii="宋体" w:hAnsi="宋体"/>
                <w:b/>
                <w:color w:val="000000"/>
                <w:kern w:val="0"/>
                <w:sz w:val="18"/>
                <w:szCs w:val="18"/>
              </w:rPr>
              <w:t>权属</w:t>
            </w:r>
            <w:r>
              <w:rPr>
                <w:rFonts w:hint="eastAsia" w:ascii="宋体" w:hAnsi="宋体"/>
                <w:b/>
                <w:color w:val="000000"/>
                <w:kern w:val="0"/>
                <w:sz w:val="18"/>
                <w:szCs w:val="18"/>
                <w:lang w:eastAsia="zh-CN"/>
              </w:rPr>
              <w:t>清晰</w:t>
            </w:r>
          </w:p>
        </w:tc>
        <w:tc>
          <w:tcPr>
            <w:tcW w:w="5387" w:type="dxa"/>
            <w:shd w:val="clear" w:color="auto" w:fill="FFFFFF" w:themeFill="background1"/>
            <w:vAlign w:val="center"/>
          </w:tcPr>
          <w:p>
            <w:pPr>
              <w:rPr>
                <w:rFonts w:ascii="宋体" w:hAnsi="宋体"/>
                <w:color w:val="000000"/>
                <w:sz w:val="18"/>
                <w:szCs w:val="18"/>
              </w:rPr>
            </w:pPr>
            <w:r>
              <w:rPr>
                <w:rFonts w:hint="eastAsia" w:ascii="宋体" w:hAnsi="宋体"/>
                <w:color w:val="000000"/>
                <w:sz w:val="18"/>
                <w:szCs w:val="18"/>
              </w:rPr>
              <w:t>依法拥有与中华老字号品牌相一致的企业字号或注册商标的所有权或使用权。</w:t>
            </w:r>
            <w:r>
              <w:rPr>
                <w:rFonts w:hint="eastAsia" w:ascii="宋体" w:hAnsi="宋体"/>
                <w:color w:val="000000"/>
                <w:kern w:val="0"/>
                <w:sz w:val="18"/>
                <w:szCs w:val="18"/>
              </w:rPr>
              <w:t>（6分）</w:t>
            </w:r>
          </w:p>
        </w:tc>
        <w:tc>
          <w:tcPr>
            <w:tcW w:w="6581" w:type="dxa"/>
            <w:shd w:val="clear" w:color="auto" w:fill="FFFFFF" w:themeFill="background1"/>
            <w:vAlign w:val="center"/>
          </w:tcPr>
          <w:p>
            <w:pPr>
              <w:rPr>
                <w:rFonts w:ascii="宋体" w:hAnsi="宋体"/>
                <w:color w:val="000000"/>
                <w:sz w:val="18"/>
                <w:szCs w:val="18"/>
              </w:rPr>
            </w:pPr>
            <w:r>
              <w:rPr>
                <w:rFonts w:hint="eastAsia" w:ascii="宋体" w:hAnsi="宋体"/>
                <w:color w:val="000000"/>
                <w:kern w:val="0"/>
                <w:sz w:val="18"/>
                <w:szCs w:val="18"/>
              </w:rPr>
              <w:t>企业字号与品牌相一致（2分）；拥有与品牌相一致的注册商标使用权（3分）；拥有与品牌相一致的注册商标所有权（4分）；企业字号、注册商标与品牌均相一致，且拥有注册商标使用权（5分）；企业字号、注册商标与品牌均相一致，且拥有注册商标所有权（6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32"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rPr>
              <w:t>驰名商标</w:t>
            </w:r>
            <w:r>
              <w:rPr>
                <w:rFonts w:hint="eastAsia" w:ascii="宋体" w:hAnsi="宋体"/>
                <w:b/>
                <w:color w:val="000000"/>
                <w:kern w:val="0"/>
                <w:sz w:val="18"/>
                <w:szCs w:val="18"/>
                <w:lang w:val="en-US" w:eastAsia="zh-CN"/>
              </w:rPr>
              <w:t>保护</w:t>
            </w:r>
          </w:p>
        </w:tc>
        <w:tc>
          <w:tcPr>
            <w:tcW w:w="5387" w:type="dxa"/>
            <w:shd w:val="clear" w:color="auto" w:fill="FFFFFF" w:themeFill="background1"/>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与品牌一致的注册商标有驰名商标认定记录。（3分）</w:t>
            </w:r>
          </w:p>
        </w:tc>
        <w:tc>
          <w:tcPr>
            <w:tcW w:w="6581" w:type="dxa"/>
            <w:shd w:val="clear" w:color="auto" w:fill="FFFFFF" w:themeFill="background1"/>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持有与品牌一致的商标并受驰名商标保护的（3分）；持有与品牌不一致的商标并受驰名商标保护的（2分）。不重复得分。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41"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宣传</w:t>
            </w:r>
            <w:r>
              <w:rPr>
                <w:rFonts w:hint="eastAsia" w:ascii="宋体" w:hAnsi="宋体"/>
                <w:b/>
                <w:color w:val="000000"/>
                <w:kern w:val="0"/>
                <w:sz w:val="18"/>
                <w:szCs w:val="18"/>
                <w:lang w:eastAsia="zh-CN"/>
              </w:rPr>
              <w:t>方式多样</w:t>
            </w:r>
          </w:p>
        </w:tc>
        <w:tc>
          <w:tcPr>
            <w:tcW w:w="5387" w:type="dxa"/>
            <w:shd w:val="clear" w:color="auto" w:fill="FFFFFF" w:themeFill="background1"/>
            <w:vAlign w:val="center"/>
          </w:tcPr>
          <w:p>
            <w:pPr>
              <w:widowControl/>
              <w:jc w:val="left"/>
              <w:rPr>
                <w:rFonts w:ascii="黑体" w:hAnsi="黑体" w:eastAsia="黑体"/>
                <w:color w:val="000000"/>
                <w:kern w:val="0"/>
                <w:szCs w:val="21"/>
              </w:rPr>
            </w:pPr>
            <w:r>
              <w:rPr>
                <w:rFonts w:hint="eastAsia" w:ascii="宋体" w:hAnsi="宋体"/>
                <w:color w:val="000000"/>
                <w:kern w:val="0"/>
                <w:sz w:val="18"/>
                <w:szCs w:val="18"/>
              </w:rPr>
              <w:t>运用多种方式积极宣传品牌文化和掌门人故事。（3分）</w:t>
            </w:r>
          </w:p>
        </w:tc>
        <w:tc>
          <w:tcPr>
            <w:tcW w:w="6581" w:type="dxa"/>
            <w:shd w:val="clear" w:color="auto" w:fill="FFFFFF" w:themeFill="background1"/>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在电影、电视剧中宣传和展示品牌文化或掌门人故事（1分）；以广告、视频（微视频、纪录片）、宣传册等形式宣传和展示品牌文化或掌门人故事（1分）；在新媒体平台（微博、微信、抖音、快手等）宣传和展示品牌文化或掌门人故事（1分）。每符合一项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14757" w:type="dxa"/>
            <w:gridSpan w:val="4"/>
            <w:tcBorders>
              <w:bottom w:val="single" w:color="auto" w:sz="4" w:space="0"/>
            </w:tcBorders>
            <w:shd w:val="clear" w:color="auto" w:fill="FFFFFF" w:themeFill="background1"/>
            <w:vAlign w:val="center"/>
          </w:tcPr>
          <w:p>
            <w:pPr>
              <w:widowControl/>
              <w:jc w:val="left"/>
              <w:rPr>
                <w:rFonts w:ascii="宋体" w:hAnsi="宋体"/>
                <w:color w:val="000000"/>
                <w:kern w:val="0"/>
                <w:sz w:val="18"/>
                <w:szCs w:val="18"/>
              </w:rPr>
            </w:pPr>
            <w:r>
              <w:rPr>
                <w:rFonts w:hint="eastAsia" w:ascii="黑体" w:hAnsi="黑体" w:eastAsia="黑体"/>
                <w:b/>
                <w:color w:val="000000"/>
                <w:sz w:val="24"/>
              </w:rPr>
              <w:t>二、经营管理</w:t>
            </w:r>
            <w:r>
              <w:rPr>
                <w:rFonts w:hint="eastAsia" w:ascii="黑体" w:hAnsi="黑体" w:eastAsia="黑体"/>
                <w:b/>
                <w:color w:val="000000"/>
                <w:sz w:val="24"/>
                <w:lang w:eastAsia="zh-CN"/>
              </w:rPr>
              <w:t>规范</w:t>
            </w:r>
            <w:r>
              <w:rPr>
                <w:rFonts w:hint="eastAsia" w:ascii="黑体" w:hAnsi="黑体" w:eastAsia="黑体"/>
                <w:b/>
                <w:color w:val="000000"/>
                <w:sz w:val="24"/>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3" w:hRule="atLeast"/>
        </w:trPr>
        <w:tc>
          <w:tcPr>
            <w:tcW w:w="1339"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一级指标</w:t>
            </w:r>
          </w:p>
        </w:tc>
        <w:tc>
          <w:tcPr>
            <w:tcW w:w="1450"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二级指标</w:t>
            </w:r>
          </w:p>
        </w:tc>
        <w:tc>
          <w:tcPr>
            <w:tcW w:w="5387"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评分标准</w:t>
            </w:r>
          </w:p>
        </w:tc>
        <w:tc>
          <w:tcPr>
            <w:tcW w:w="6581"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9" w:hRule="atLeast"/>
        </w:trPr>
        <w:tc>
          <w:tcPr>
            <w:tcW w:w="1339" w:type="dxa"/>
            <w:vMerge w:val="restart"/>
            <w:shd w:val="clear" w:color="auto" w:fill="FFFFFF" w:themeFill="background1"/>
            <w:vAlign w:val="center"/>
          </w:tcPr>
          <w:p>
            <w:pPr>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经济效益</w:t>
            </w:r>
            <w:r>
              <w:rPr>
                <w:rFonts w:hint="eastAsia" w:ascii="宋体" w:hAnsi="宋体"/>
                <w:b/>
                <w:color w:val="000000"/>
                <w:kern w:val="0"/>
                <w:sz w:val="18"/>
                <w:szCs w:val="18"/>
                <w:lang w:eastAsia="zh-CN"/>
              </w:rPr>
              <w:t>良好</w:t>
            </w:r>
          </w:p>
          <w:p>
            <w:pPr>
              <w:jc w:val="center"/>
              <w:rPr>
                <w:rFonts w:ascii="宋体" w:hAnsi="宋体"/>
                <w:b/>
                <w:color w:val="000000"/>
                <w:kern w:val="0"/>
                <w:sz w:val="18"/>
                <w:szCs w:val="18"/>
              </w:rPr>
            </w:pPr>
            <w:r>
              <w:rPr>
                <w:rFonts w:hint="eastAsia" w:ascii="宋体" w:hAnsi="宋体"/>
                <w:b/>
                <w:color w:val="000000"/>
                <w:kern w:val="0"/>
                <w:sz w:val="18"/>
                <w:szCs w:val="18"/>
              </w:rPr>
              <w:t>（12分）</w:t>
            </w:r>
          </w:p>
        </w:tc>
        <w:tc>
          <w:tcPr>
            <w:tcW w:w="1450" w:type="dxa"/>
            <w:shd w:val="clear" w:color="auto" w:fill="FFFFFF" w:themeFill="background1"/>
            <w:vAlign w:val="center"/>
          </w:tcPr>
          <w:p>
            <w:pPr>
              <w:jc w:val="center"/>
              <w:rPr>
                <w:rFonts w:hint="default" w:ascii="宋体" w:hAnsi="宋体" w:eastAsia="宋体"/>
                <w:b/>
                <w:color w:val="000000"/>
                <w:kern w:val="0"/>
                <w:sz w:val="18"/>
                <w:szCs w:val="18"/>
                <w:lang w:val="en-US" w:eastAsia="zh-Hans"/>
              </w:rPr>
            </w:pPr>
            <w:r>
              <w:rPr>
                <w:rFonts w:hint="eastAsia" w:ascii="宋体" w:hAnsi="宋体"/>
                <w:b/>
                <w:color w:val="000000"/>
                <w:kern w:val="0"/>
                <w:sz w:val="18"/>
                <w:szCs w:val="18"/>
                <w:lang w:eastAsia="zh-CN"/>
              </w:rPr>
              <w:t>主营业务</w:t>
            </w:r>
            <w:r>
              <w:rPr>
                <w:rFonts w:hint="eastAsia" w:ascii="宋体" w:hAnsi="宋体"/>
                <w:b/>
                <w:color w:val="000000"/>
                <w:kern w:val="0"/>
                <w:sz w:val="18"/>
                <w:szCs w:val="18"/>
                <w:lang w:val="en-US" w:eastAsia="zh-Hans"/>
              </w:rPr>
              <w:t>连续</w:t>
            </w:r>
          </w:p>
        </w:tc>
        <w:tc>
          <w:tcPr>
            <w:tcW w:w="5387"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主营业务连续经营3</w:t>
            </w:r>
            <w:r>
              <w:rPr>
                <w:rFonts w:ascii="宋体" w:hAnsi="宋体"/>
                <w:color w:val="000000"/>
                <w:kern w:val="0"/>
                <w:sz w:val="18"/>
                <w:szCs w:val="18"/>
              </w:rPr>
              <w:t>0</w:t>
            </w:r>
            <w:r>
              <w:rPr>
                <w:rFonts w:hint="eastAsia" w:ascii="宋体" w:hAnsi="宋体"/>
                <w:color w:val="000000"/>
                <w:kern w:val="0"/>
                <w:sz w:val="18"/>
                <w:szCs w:val="18"/>
              </w:rPr>
              <w:t>年（含）以上。（3分）</w:t>
            </w:r>
          </w:p>
        </w:tc>
        <w:tc>
          <w:tcPr>
            <w:tcW w:w="6581"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主营业务连续经营时间为</w:t>
            </w:r>
            <w:r>
              <w:rPr>
                <w:rFonts w:ascii="宋体" w:hAnsi="宋体"/>
                <w:color w:val="000000"/>
                <w:kern w:val="0"/>
                <w:sz w:val="18"/>
                <w:szCs w:val="18"/>
              </w:rPr>
              <w:t>30</w:t>
            </w:r>
            <w:r>
              <w:rPr>
                <w:rFonts w:hint="eastAsia" w:ascii="宋体" w:hAnsi="宋体"/>
                <w:color w:val="000000"/>
                <w:kern w:val="0"/>
                <w:sz w:val="18"/>
                <w:szCs w:val="18"/>
              </w:rPr>
              <w:t>-4</w:t>
            </w:r>
            <w:r>
              <w:rPr>
                <w:rFonts w:ascii="宋体" w:hAnsi="宋体"/>
                <w:color w:val="000000"/>
                <w:kern w:val="0"/>
                <w:sz w:val="18"/>
                <w:szCs w:val="18"/>
              </w:rPr>
              <w:t>0</w:t>
            </w:r>
            <w:r>
              <w:rPr>
                <w:rFonts w:hint="eastAsia" w:ascii="宋体" w:hAnsi="宋体"/>
                <w:color w:val="000000"/>
                <w:kern w:val="0"/>
                <w:sz w:val="18"/>
                <w:szCs w:val="18"/>
              </w:rPr>
              <w:t>年（含）（1分）；主营业务连续经营时间为4</w:t>
            </w:r>
            <w:r>
              <w:rPr>
                <w:rFonts w:ascii="宋体" w:hAnsi="宋体"/>
                <w:color w:val="000000"/>
                <w:kern w:val="0"/>
                <w:sz w:val="18"/>
                <w:szCs w:val="18"/>
              </w:rPr>
              <w:t>0</w:t>
            </w:r>
            <w:r>
              <w:rPr>
                <w:rFonts w:hint="eastAsia" w:ascii="宋体" w:hAnsi="宋体"/>
                <w:color w:val="000000"/>
                <w:kern w:val="0"/>
                <w:sz w:val="18"/>
                <w:szCs w:val="18"/>
              </w:rPr>
              <w:t>-5</w:t>
            </w:r>
            <w:r>
              <w:rPr>
                <w:rFonts w:ascii="宋体" w:hAnsi="宋体"/>
                <w:color w:val="000000"/>
                <w:kern w:val="0"/>
                <w:sz w:val="18"/>
                <w:szCs w:val="18"/>
              </w:rPr>
              <w:t>0</w:t>
            </w:r>
            <w:r>
              <w:rPr>
                <w:rFonts w:hint="eastAsia" w:ascii="宋体" w:hAnsi="宋体"/>
                <w:color w:val="000000"/>
                <w:kern w:val="0"/>
                <w:sz w:val="18"/>
                <w:szCs w:val="18"/>
              </w:rPr>
              <w:t>年（含）（2分）；主营业务连续经营时间为50年以上（3分）。不重复得分。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40" w:hRule="atLeast"/>
        </w:trPr>
        <w:tc>
          <w:tcPr>
            <w:tcW w:w="1339" w:type="dxa"/>
            <w:vMerge w:val="continue"/>
            <w:shd w:val="clear" w:color="auto" w:fill="FFFFFF" w:themeFill="background1"/>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盈利能力</w:t>
            </w:r>
            <w:r>
              <w:rPr>
                <w:rFonts w:hint="eastAsia" w:ascii="宋体" w:hAnsi="宋体"/>
                <w:b/>
                <w:color w:val="000000"/>
                <w:kern w:val="0"/>
                <w:sz w:val="18"/>
                <w:szCs w:val="18"/>
                <w:lang w:val="en-US" w:eastAsia="zh-Hans"/>
              </w:rPr>
              <w:t>良好</w:t>
            </w:r>
          </w:p>
        </w:tc>
        <w:tc>
          <w:tcPr>
            <w:tcW w:w="5387"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经营状况良好，可持续发展能力强。（3分）</w:t>
            </w:r>
          </w:p>
        </w:tc>
        <w:tc>
          <w:tcPr>
            <w:tcW w:w="6581"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企业处于盈利状态（1分）；持续盈利2年（含）以上（2分）；持续盈利3年（含）以上（3分）。不重复得分。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40" w:hRule="atLeast"/>
        </w:trPr>
        <w:tc>
          <w:tcPr>
            <w:tcW w:w="1339" w:type="dxa"/>
            <w:vMerge w:val="continue"/>
            <w:shd w:val="clear" w:color="auto" w:fill="FFFFFF" w:themeFill="background1"/>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cs="黑体"/>
                <w:b/>
                <w:color w:val="000000"/>
                <w:kern w:val="0"/>
                <w:sz w:val="18"/>
                <w:szCs w:val="18"/>
                <w:lang w:val="en-US" w:eastAsia="zh-Hans"/>
              </w:rPr>
            </w:pPr>
            <w:r>
              <w:rPr>
                <w:rFonts w:hint="eastAsia" w:ascii="宋体" w:hAnsi="宋体"/>
                <w:b/>
                <w:color w:val="000000"/>
                <w:kern w:val="0"/>
                <w:sz w:val="18"/>
                <w:szCs w:val="18"/>
              </w:rPr>
              <w:t>市场</w:t>
            </w:r>
            <w:r>
              <w:rPr>
                <w:rFonts w:hint="eastAsia" w:ascii="宋体" w:hAnsi="宋体"/>
                <w:b/>
                <w:color w:val="000000"/>
                <w:kern w:val="0"/>
                <w:sz w:val="18"/>
                <w:szCs w:val="18"/>
                <w:lang w:eastAsia="zh-CN"/>
              </w:rPr>
              <w:t>覆盖</w:t>
            </w:r>
            <w:r>
              <w:rPr>
                <w:rFonts w:hint="eastAsia" w:ascii="宋体" w:hAnsi="宋体"/>
                <w:b/>
                <w:color w:val="000000"/>
                <w:kern w:val="0"/>
                <w:sz w:val="18"/>
                <w:szCs w:val="18"/>
                <w:lang w:val="en-US" w:eastAsia="zh-Hans"/>
              </w:rPr>
              <w:t>广泛</w:t>
            </w:r>
          </w:p>
        </w:tc>
        <w:tc>
          <w:tcPr>
            <w:tcW w:w="5387" w:type="dxa"/>
            <w:shd w:val="clear" w:color="auto" w:fill="FFFFFF" w:themeFill="background1"/>
            <w:vAlign w:val="center"/>
          </w:tcPr>
          <w:p>
            <w:pPr>
              <w:widowControl/>
              <w:rPr>
                <w:rFonts w:ascii="宋体" w:hAnsi="宋体" w:cs="黑体"/>
                <w:color w:val="000000"/>
                <w:kern w:val="0"/>
                <w:sz w:val="18"/>
                <w:szCs w:val="18"/>
              </w:rPr>
            </w:pPr>
            <w:r>
              <w:rPr>
                <w:rFonts w:hint="eastAsia" w:ascii="宋体" w:hAnsi="宋体"/>
                <w:color w:val="000000"/>
                <w:kern w:val="0"/>
                <w:sz w:val="18"/>
                <w:szCs w:val="18"/>
              </w:rPr>
              <w:t>国际化、跨区域、数字化、连锁化经营情况。（4分）</w:t>
            </w:r>
          </w:p>
        </w:tc>
        <w:tc>
          <w:tcPr>
            <w:tcW w:w="6581" w:type="dxa"/>
            <w:shd w:val="clear" w:color="auto" w:fill="FFFFFF" w:themeFill="background1"/>
            <w:vAlign w:val="center"/>
          </w:tcPr>
          <w:p>
            <w:pPr>
              <w:widowControl/>
              <w:rPr>
                <w:rFonts w:ascii="宋体" w:hAnsi="宋体" w:cs="黑体"/>
                <w:color w:val="000000"/>
                <w:kern w:val="0"/>
                <w:sz w:val="18"/>
                <w:szCs w:val="18"/>
              </w:rPr>
            </w:pPr>
            <w:r>
              <w:rPr>
                <w:rFonts w:hint="eastAsia" w:ascii="宋体" w:hAnsi="宋体" w:cs="黑体"/>
                <w:color w:val="000000"/>
                <w:kern w:val="0"/>
                <w:sz w:val="18"/>
                <w:szCs w:val="18"/>
                <w:lang w:bidi="ar"/>
              </w:rPr>
              <w:t>商品或服务进入国际市场（1分）；商品或服务进入省外市场（1分）；运用电子商务方式拓展销售渠道（1分）；拥有2家以上的直营店或加盟店（1分）。</w:t>
            </w:r>
            <w:r>
              <w:rPr>
                <w:rFonts w:hint="eastAsia" w:ascii="宋体" w:hAnsi="宋体"/>
                <w:color w:val="000000"/>
                <w:kern w:val="0"/>
                <w:sz w:val="18"/>
                <w:szCs w:val="18"/>
              </w:rPr>
              <w:t>每符合一项得1分，最多得</w:t>
            </w:r>
            <w:r>
              <w:rPr>
                <w:rFonts w:ascii="宋体" w:hAnsi="宋体"/>
                <w:color w:val="000000"/>
                <w:kern w:val="0"/>
                <w:sz w:val="18"/>
                <w:szCs w:val="18"/>
              </w:rPr>
              <w:t>4</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40" w:hRule="atLeast"/>
        </w:trPr>
        <w:tc>
          <w:tcPr>
            <w:tcW w:w="1339" w:type="dxa"/>
            <w:vMerge w:val="continue"/>
            <w:shd w:val="clear" w:color="auto" w:fill="FFFFFF" w:themeFill="background1"/>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jc w:val="center"/>
              <w:rPr>
                <w:rFonts w:hint="eastAsia" w:ascii="宋体" w:hAnsi="宋体" w:eastAsia="宋体" w:cs="黑体"/>
                <w:b/>
                <w:color w:val="000000"/>
                <w:kern w:val="0"/>
                <w:sz w:val="18"/>
                <w:szCs w:val="18"/>
                <w:lang w:eastAsia="zh-CN"/>
              </w:rPr>
            </w:pPr>
            <w:r>
              <w:rPr>
                <w:rFonts w:hint="eastAsia" w:ascii="宋体" w:hAnsi="宋体"/>
                <w:b/>
                <w:color w:val="000000"/>
                <w:kern w:val="0"/>
                <w:sz w:val="18"/>
                <w:szCs w:val="18"/>
                <w:lang w:val="en-US" w:eastAsia="zh-Hans"/>
              </w:rPr>
              <w:t>企业</w:t>
            </w:r>
            <w:r>
              <w:rPr>
                <w:rFonts w:hint="eastAsia" w:ascii="宋体" w:hAnsi="宋体"/>
                <w:b/>
                <w:color w:val="000000"/>
                <w:kern w:val="0"/>
                <w:sz w:val="18"/>
                <w:szCs w:val="18"/>
              </w:rPr>
              <w:t>上市</w:t>
            </w:r>
            <w:r>
              <w:rPr>
                <w:rFonts w:hint="eastAsia" w:ascii="宋体" w:hAnsi="宋体"/>
                <w:b/>
                <w:color w:val="000000"/>
                <w:kern w:val="0"/>
                <w:sz w:val="18"/>
                <w:szCs w:val="18"/>
                <w:lang w:val="en-US" w:eastAsia="zh-CN"/>
              </w:rPr>
              <w:t>发展</w:t>
            </w:r>
          </w:p>
        </w:tc>
        <w:tc>
          <w:tcPr>
            <w:tcW w:w="5387" w:type="dxa"/>
            <w:shd w:val="clear" w:color="auto" w:fill="FFFFFF" w:themeFill="background1"/>
            <w:vAlign w:val="center"/>
          </w:tcPr>
          <w:p>
            <w:pPr>
              <w:widowControl/>
              <w:rPr>
                <w:rFonts w:ascii="宋体" w:hAnsi="宋体" w:cs="黑体"/>
                <w:color w:val="000000"/>
                <w:kern w:val="0"/>
                <w:sz w:val="18"/>
                <w:szCs w:val="18"/>
              </w:rPr>
            </w:pPr>
            <w:r>
              <w:rPr>
                <w:rFonts w:hint="eastAsia" w:ascii="宋体" w:hAnsi="宋体"/>
                <w:color w:val="000000"/>
                <w:kern w:val="0"/>
                <w:sz w:val="18"/>
                <w:szCs w:val="18"/>
              </w:rPr>
              <w:t>企业是否上市。（2分）</w:t>
            </w:r>
          </w:p>
        </w:tc>
        <w:tc>
          <w:tcPr>
            <w:tcW w:w="6581" w:type="dxa"/>
            <w:shd w:val="clear" w:color="auto" w:fill="FFFFFF" w:themeFill="background1"/>
            <w:vAlign w:val="center"/>
          </w:tcPr>
          <w:p>
            <w:pPr>
              <w:widowControl/>
              <w:jc w:val="left"/>
              <w:rPr>
                <w:rFonts w:ascii="宋体" w:hAnsi="宋体" w:cs="黑体"/>
                <w:color w:val="000000"/>
                <w:kern w:val="0"/>
                <w:sz w:val="18"/>
                <w:szCs w:val="18"/>
              </w:rPr>
            </w:pPr>
            <w:r>
              <w:rPr>
                <w:rFonts w:hint="eastAsia" w:ascii="宋体" w:hAnsi="宋体"/>
                <w:color w:val="000000"/>
                <w:kern w:val="0"/>
                <w:sz w:val="18"/>
                <w:szCs w:val="18"/>
              </w:rPr>
              <w:t>在境内外股票市场公开发行股票（2分）。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1339" w:type="dxa"/>
            <w:vMerge w:val="restart"/>
            <w:shd w:val="clear" w:color="auto" w:fill="FFFFFF" w:themeFill="background1"/>
            <w:vAlign w:val="center"/>
          </w:tcPr>
          <w:p>
            <w:pPr>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制度建设</w:t>
            </w:r>
            <w:r>
              <w:rPr>
                <w:rFonts w:hint="eastAsia" w:ascii="宋体" w:hAnsi="宋体"/>
                <w:b/>
                <w:color w:val="000000"/>
                <w:kern w:val="0"/>
                <w:sz w:val="18"/>
                <w:szCs w:val="18"/>
                <w:lang w:eastAsia="zh-CN"/>
              </w:rPr>
              <w:t>完善</w:t>
            </w:r>
          </w:p>
          <w:p>
            <w:pPr>
              <w:jc w:val="center"/>
              <w:rPr>
                <w:rFonts w:ascii="宋体" w:hAnsi="宋体"/>
                <w:b/>
                <w:color w:val="000000"/>
                <w:kern w:val="0"/>
                <w:sz w:val="18"/>
                <w:szCs w:val="18"/>
              </w:rPr>
            </w:pPr>
            <w:r>
              <w:rPr>
                <w:rFonts w:hint="eastAsia" w:ascii="宋体" w:hAnsi="宋体"/>
                <w:b/>
                <w:color w:val="000000"/>
                <w:kern w:val="0"/>
                <w:sz w:val="18"/>
                <w:szCs w:val="18"/>
              </w:rPr>
              <w:t>（10分）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管理制度</w:t>
            </w:r>
            <w:r>
              <w:rPr>
                <w:rFonts w:hint="eastAsia" w:ascii="宋体" w:hAnsi="宋体"/>
                <w:b/>
                <w:color w:val="000000"/>
                <w:kern w:val="0"/>
                <w:sz w:val="18"/>
                <w:szCs w:val="18"/>
                <w:lang w:val="en-US" w:eastAsia="zh-Hans"/>
              </w:rPr>
              <w:t>健全</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有完善的管理制度，包括突发事件应急处置机制及食品安全、环境卫生、知识产权、消费者权益、市场公平竞争、人才培训等。（5分）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有完善的管理制度，包括突发事件应急处置机制、食品安全、环境卫生、知识产权、消费者权益、其他制度。每拥有一种管理制度得1分，最多得5分。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94"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体制改革</w:t>
            </w:r>
            <w:r>
              <w:rPr>
                <w:rFonts w:hint="eastAsia" w:ascii="宋体" w:hAnsi="宋体"/>
                <w:b/>
                <w:color w:val="000000"/>
                <w:kern w:val="0"/>
                <w:sz w:val="18"/>
                <w:szCs w:val="18"/>
                <w:lang w:val="en-US" w:eastAsia="zh-Hans"/>
              </w:rPr>
              <w:t>完善</w:t>
            </w:r>
          </w:p>
        </w:tc>
        <w:tc>
          <w:tcPr>
            <w:tcW w:w="5387"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从人事、用工、分配制度着手深化企业改革，明晰产权，开展兼并重组，推进混合所有制改革，构建现代企业治理体系，拓展延长产业链，集团化、产业化发展。（5分）</w:t>
            </w:r>
          </w:p>
        </w:tc>
        <w:tc>
          <w:tcPr>
            <w:tcW w:w="6581"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采取人事制度、用工制度、分配制度改革措施（1分）；明晰产权，开展兼并重组，推进混合所有制改革（1分）；构建现代企业治理体系（1分）；拓展延长产业链，集团化、产业化发展（2分）。每符合一项得1分，最多得</w:t>
            </w:r>
            <w:r>
              <w:rPr>
                <w:rFonts w:ascii="宋体" w:hAnsi="宋体"/>
                <w:color w:val="000000"/>
                <w:kern w:val="0"/>
                <w:sz w:val="18"/>
                <w:szCs w:val="18"/>
              </w:rPr>
              <w:t>5</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14757" w:type="dxa"/>
            <w:gridSpan w:val="4"/>
            <w:tcBorders>
              <w:bottom w:val="single" w:color="auto" w:sz="4" w:space="0"/>
            </w:tcBorders>
            <w:shd w:val="clear" w:color="auto" w:fill="FFFFFF" w:themeFill="background1"/>
            <w:vAlign w:val="center"/>
          </w:tcPr>
          <w:p>
            <w:pPr>
              <w:widowControl/>
              <w:jc w:val="left"/>
              <w:rPr>
                <w:rFonts w:ascii="宋体" w:hAnsi="宋体"/>
                <w:color w:val="000000"/>
                <w:kern w:val="0"/>
                <w:sz w:val="18"/>
                <w:szCs w:val="18"/>
              </w:rPr>
            </w:pPr>
            <w:r>
              <w:rPr>
                <w:rFonts w:hint="eastAsia" w:ascii="黑体" w:hAnsi="黑体" w:eastAsia="黑体"/>
                <w:b/>
                <w:color w:val="000000"/>
                <w:sz w:val="24"/>
              </w:rPr>
              <w:t>三、创新发展</w:t>
            </w:r>
            <w:r>
              <w:rPr>
                <w:rFonts w:hint="eastAsia" w:ascii="黑体" w:hAnsi="黑体" w:eastAsia="黑体"/>
                <w:b/>
                <w:color w:val="000000"/>
                <w:sz w:val="24"/>
                <w:lang w:eastAsia="zh-CN"/>
              </w:rPr>
              <w:t>能力突出</w:t>
            </w:r>
            <w:r>
              <w:rPr>
                <w:rFonts w:hint="eastAsia" w:ascii="黑体" w:hAnsi="黑体" w:eastAsia="黑体"/>
                <w:b/>
                <w:color w:val="000000"/>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7" w:hRule="atLeast"/>
        </w:trPr>
        <w:tc>
          <w:tcPr>
            <w:tcW w:w="1339"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一级指标</w:t>
            </w:r>
          </w:p>
        </w:tc>
        <w:tc>
          <w:tcPr>
            <w:tcW w:w="1450" w:type="dxa"/>
            <w:shd w:val="clear" w:color="auto" w:fill="FFFFFF" w:themeFill="background1"/>
            <w:vAlign w:val="center"/>
          </w:tcPr>
          <w:p>
            <w:pPr>
              <w:widowControl/>
              <w:jc w:val="center"/>
              <w:rPr>
                <w:rFonts w:ascii="宋体" w:hAnsi="宋体"/>
                <w:color w:val="000000"/>
                <w:kern w:val="0"/>
                <w:sz w:val="18"/>
                <w:szCs w:val="18"/>
              </w:rPr>
            </w:pPr>
            <w:r>
              <w:rPr>
                <w:rFonts w:hint="eastAsia" w:ascii="黑体" w:hAnsi="黑体" w:eastAsia="黑体"/>
                <w:color w:val="000000"/>
                <w:kern w:val="0"/>
                <w:szCs w:val="21"/>
              </w:rPr>
              <w:t>二级指标</w:t>
            </w:r>
          </w:p>
        </w:tc>
        <w:tc>
          <w:tcPr>
            <w:tcW w:w="5387" w:type="dxa"/>
            <w:shd w:val="clear" w:color="auto" w:fill="FFFFFF" w:themeFill="background1"/>
            <w:vAlign w:val="center"/>
          </w:tcPr>
          <w:p>
            <w:pPr>
              <w:jc w:val="center"/>
              <w:rPr>
                <w:rFonts w:ascii="宋体" w:hAnsi="宋体"/>
                <w:color w:val="000000"/>
                <w:kern w:val="0"/>
                <w:sz w:val="18"/>
                <w:szCs w:val="18"/>
              </w:rPr>
            </w:pPr>
            <w:r>
              <w:rPr>
                <w:rFonts w:hint="eastAsia" w:ascii="黑体" w:hAnsi="黑体" w:eastAsia="黑体"/>
                <w:color w:val="000000"/>
                <w:kern w:val="0"/>
                <w:szCs w:val="21"/>
              </w:rPr>
              <w:t>评分标准</w:t>
            </w:r>
          </w:p>
        </w:tc>
        <w:tc>
          <w:tcPr>
            <w:tcW w:w="6581" w:type="dxa"/>
            <w:shd w:val="clear" w:color="auto" w:fill="FFFFFF" w:themeFill="background1"/>
            <w:vAlign w:val="center"/>
          </w:tcPr>
          <w:p>
            <w:pPr>
              <w:jc w:val="center"/>
              <w:rPr>
                <w:rFonts w:ascii="宋体" w:hAnsi="宋体"/>
                <w:color w:val="000000"/>
                <w:kern w:val="0"/>
                <w:sz w:val="18"/>
                <w:szCs w:val="18"/>
              </w:rPr>
            </w:pPr>
            <w:r>
              <w:rPr>
                <w:rFonts w:hint="eastAsia" w:ascii="黑体" w:hAnsi="黑体" w:eastAsia="黑体"/>
                <w:color w:val="000000"/>
                <w:kern w:val="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88" w:hRule="atLeast"/>
        </w:trPr>
        <w:tc>
          <w:tcPr>
            <w:tcW w:w="1339" w:type="dxa"/>
            <w:vMerge w:val="restart"/>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产品服务</w:t>
            </w:r>
            <w:r>
              <w:rPr>
                <w:rFonts w:hint="eastAsia" w:ascii="宋体" w:hAnsi="宋体"/>
                <w:b/>
                <w:color w:val="000000"/>
                <w:kern w:val="0"/>
                <w:sz w:val="18"/>
                <w:szCs w:val="18"/>
                <w:lang w:eastAsia="zh-CN"/>
              </w:rPr>
              <w:t>优质</w:t>
            </w:r>
          </w:p>
          <w:p>
            <w:pPr>
              <w:widowControl/>
              <w:jc w:val="center"/>
              <w:rPr>
                <w:rFonts w:ascii="宋体" w:hAnsi="宋体"/>
                <w:b/>
                <w:color w:val="000000"/>
                <w:kern w:val="0"/>
                <w:sz w:val="18"/>
                <w:szCs w:val="18"/>
              </w:rPr>
            </w:pPr>
            <w:r>
              <w:rPr>
                <w:rFonts w:hint="eastAsia" w:ascii="宋体" w:hAnsi="宋体"/>
                <w:b/>
                <w:color w:val="000000"/>
                <w:kern w:val="0"/>
                <w:sz w:val="18"/>
                <w:szCs w:val="18"/>
              </w:rPr>
              <w:t>（10分）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lang w:val="en-US" w:eastAsia="zh-Hans"/>
              </w:rPr>
              <w:t>服务</w:t>
            </w:r>
            <w:r>
              <w:rPr>
                <w:rFonts w:hint="eastAsia" w:ascii="宋体" w:hAnsi="宋体"/>
                <w:b/>
                <w:color w:val="000000"/>
                <w:kern w:val="0"/>
                <w:sz w:val="18"/>
                <w:szCs w:val="18"/>
              </w:rPr>
              <w:t>品质</w:t>
            </w:r>
            <w:r>
              <w:rPr>
                <w:rFonts w:hint="eastAsia" w:ascii="宋体" w:hAnsi="宋体"/>
                <w:b/>
                <w:color w:val="000000"/>
                <w:kern w:val="0"/>
                <w:sz w:val="18"/>
                <w:szCs w:val="18"/>
                <w:lang w:eastAsia="zh-CN"/>
              </w:rPr>
              <w:t>良好</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坚守工匠精神，提升服务质量和服务水平，永葆品质魅力。（5分）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拥有国家级或省级非物质文化遗产代表性传承人</w:t>
            </w:r>
            <w:r>
              <w:rPr>
                <w:rFonts w:hint="eastAsia" w:ascii="宋体" w:hAnsi="宋体"/>
                <w:color w:val="000000"/>
                <w:kern w:val="0"/>
                <w:sz w:val="18"/>
                <w:szCs w:val="18"/>
                <w:lang w:eastAsia="zh-CN"/>
              </w:rPr>
              <w:t>、工艺美术大师等技艺传承人</w:t>
            </w:r>
            <w:r>
              <w:rPr>
                <w:rFonts w:hint="eastAsia" w:ascii="宋体" w:hAnsi="宋体"/>
                <w:color w:val="000000"/>
                <w:kern w:val="0"/>
                <w:sz w:val="18"/>
                <w:szCs w:val="18"/>
              </w:rPr>
              <w:t>，面向居民生活提供经济价值、文化价值较高的产品、技艺或服务，最多得5分。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39"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lang w:val="en-US" w:eastAsia="zh-Hans"/>
              </w:rPr>
              <w:t>产品</w:t>
            </w:r>
            <w:r>
              <w:rPr>
                <w:rFonts w:hint="eastAsia" w:ascii="宋体" w:hAnsi="宋体"/>
                <w:b/>
                <w:color w:val="000000"/>
                <w:kern w:val="0"/>
                <w:sz w:val="18"/>
                <w:szCs w:val="18"/>
              </w:rPr>
              <w:t>品类丰富</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根据消费需求创新开发产品，提升产品创新力，丰富产品品类。（5分）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sz w:val="18"/>
                <w:szCs w:val="18"/>
              </w:rPr>
              <w:t>在坚持产品品质前提下，根据广大消费者需求变化创新开发产品，丰富产品品类，最多得5分。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38" w:hRule="atLeast"/>
        </w:trPr>
        <w:tc>
          <w:tcPr>
            <w:tcW w:w="1339" w:type="dxa"/>
            <w:vMerge w:val="restart"/>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lang w:eastAsia="zh-CN"/>
              </w:rPr>
              <w:t>研发能力突出</w:t>
            </w:r>
          </w:p>
          <w:p>
            <w:pPr>
              <w:widowControl/>
              <w:jc w:val="center"/>
              <w:rPr>
                <w:rFonts w:ascii="宋体" w:hAnsi="宋体"/>
                <w:b/>
                <w:color w:val="000000"/>
                <w:kern w:val="0"/>
                <w:sz w:val="18"/>
                <w:szCs w:val="18"/>
              </w:rPr>
            </w:pPr>
            <w:r>
              <w:rPr>
                <w:rFonts w:hint="eastAsia" w:ascii="宋体" w:hAnsi="宋体"/>
                <w:b/>
                <w:color w:val="000000"/>
                <w:kern w:val="0"/>
                <w:sz w:val="18"/>
                <w:szCs w:val="18"/>
              </w:rPr>
              <w:t>（10分）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lang w:val="en-US" w:eastAsia="zh-Hans"/>
              </w:rPr>
              <w:t>生产</w:t>
            </w:r>
            <w:r>
              <w:rPr>
                <w:rFonts w:hint="eastAsia" w:ascii="宋体" w:hAnsi="宋体"/>
                <w:b/>
                <w:color w:val="000000"/>
                <w:kern w:val="0"/>
                <w:sz w:val="18"/>
                <w:szCs w:val="18"/>
              </w:rPr>
              <w:t>技艺</w:t>
            </w:r>
            <w:r>
              <w:rPr>
                <w:rFonts w:hint="eastAsia" w:ascii="宋体" w:hAnsi="宋体"/>
                <w:b/>
                <w:color w:val="000000"/>
                <w:kern w:val="0"/>
                <w:sz w:val="18"/>
                <w:szCs w:val="18"/>
                <w:lang w:val="en-US" w:eastAsia="zh-Hans"/>
              </w:rPr>
              <w:t>革新</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运用先进技术和设备，全面掌握并运用传统工艺核心技艺和关键技术，与时俱进改进技艺，创新生产方式，降低生产成本，提高生产效率，形成了</w:t>
            </w:r>
            <w:r>
              <w:rPr>
                <w:rFonts w:hint="eastAsia" w:ascii="宋体" w:hAnsi="宋体"/>
                <w:color w:val="000000"/>
                <w:sz w:val="18"/>
                <w:szCs w:val="18"/>
              </w:rPr>
              <w:t>与品牌传统工艺技术相匹配的新技艺，且成效明显。（4分）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运用先进技术和设备，全面掌握并运用传统工艺核心技艺和关键技术，与时俱进改进技艺，创新生产方式，降低生产成本，提高生产效率，形成了</w:t>
            </w:r>
            <w:r>
              <w:rPr>
                <w:rFonts w:hint="eastAsia" w:ascii="宋体" w:hAnsi="宋体"/>
                <w:color w:val="000000"/>
                <w:sz w:val="18"/>
                <w:szCs w:val="18"/>
              </w:rPr>
              <w:t>与品牌传统工艺技术相匹配的新技艺，且成效明显，最多得4分。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89"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lang w:eastAsia="zh-CN"/>
              </w:rPr>
              <w:t>科技</w:t>
            </w:r>
            <w:r>
              <w:rPr>
                <w:rFonts w:hint="eastAsia" w:ascii="宋体" w:hAnsi="宋体"/>
                <w:b/>
                <w:color w:val="000000"/>
                <w:kern w:val="0"/>
                <w:sz w:val="18"/>
                <w:szCs w:val="18"/>
                <w:lang w:val="en-US" w:eastAsia="zh-Hans"/>
              </w:rPr>
              <w:t>研发</w:t>
            </w:r>
            <w:r>
              <w:rPr>
                <w:rFonts w:hint="eastAsia" w:ascii="宋体" w:hAnsi="宋体"/>
                <w:b/>
                <w:color w:val="000000"/>
                <w:kern w:val="0"/>
                <w:sz w:val="18"/>
                <w:szCs w:val="18"/>
                <w:lang w:eastAsia="zh-CN"/>
              </w:rPr>
              <w:t>创新</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建立技术中心或科研机构，对传统技艺进行研究、保护、传承和创新。（3分）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sz w:val="18"/>
                <w:szCs w:val="18"/>
              </w:rPr>
              <w:t>建立国家级技术中心或同级别科研机构（3分）；建立省级技术中心或同级别科研机构（2分）；建立市级技术中心或同级别科研机构（1分）。</w:t>
            </w:r>
            <w:r>
              <w:rPr>
                <w:rFonts w:hint="eastAsia" w:ascii="宋体" w:hAnsi="宋体"/>
                <w:color w:val="000000"/>
                <w:kern w:val="0"/>
                <w:sz w:val="18"/>
                <w:szCs w:val="18"/>
              </w:rPr>
              <w:t>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64"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人才培养</w:t>
            </w:r>
            <w:r>
              <w:rPr>
                <w:rFonts w:hint="eastAsia" w:ascii="宋体" w:hAnsi="宋体"/>
                <w:b/>
                <w:color w:val="000000"/>
                <w:kern w:val="0"/>
                <w:sz w:val="18"/>
                <w:szCs w:val="18"/>
                <w:lang w:eastAsia="zh-CN"/>
              </w:rPr>
              <w:t>有力</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有完善的人才培养和管理制度，注重专业人才队伍建设。（3分）</w:t>
            </w:r>
          </w:p>
        </w:tc>
        <w:tc>
          <w:tcPr>
            <w:tcW w:w="6581" w:type="dxa"/>
            <w:shd w:val="clear" w:color="auto" w:fill="FFFFFF" w:themeFill="background1"/>
            <w:vAlign w:val="center"/>
          </w:tcPr>
          <w:p>
            <w:pPr>
              <w:rPr>
                <w:rFonts w:ascii="宋体" w:hAnsi="宋体"/>
                <w:color w:val="000000"/>
                <w:sz w:val="18"/>
                <w:szCs w:val="18"/>
              </w:rPr>
            </w:pPr>
            <w:r>
              <w:rPr>
                <w:rFonts w:hint="eastAsia" w:ascii="宋体" w:hAnsi="宋体"/>
                <w:color w:val="000000"/>
                <w:kern w:val="0"/>
                <w:sz w:val="18"/>
                <w:szCs w:val="18"/>
              </w:rPr>
              <w:t>有完善的人才培养和管理制度，</w:t>
            </w:r>
            <w:r>
              <w:rPr>
                <w:rFonts w:hint="eastAsia" w:ascii="宋体" w:hAnsi="宋体"/>
                <w:color w:val="000000"/>
                <w:sz w:val="18"/>
                <w:szCs w:val="18"/>
              </w:rPr>
              <w:t>定期组织员工培训，积极吸收高等教育毕业生就业，吸纳非物质文化遗产代表性传承人参与生产或培训等。</w:t>
            </w:r>
            <w:r>
              <w:rPr>
                <w:rFonts w:hint="eastAsia" w:ascii="宋体" w:hAnsi="宋体"/>
                <w:color w:val="000000"/>
                <w:kern w:val="0"/>
                <w:sz w:val="18"/>
                <w:szCs w:val="18"/>
              </w:rPr>
              <w:t>每采取一项措施得1分，最多得3分。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6" w:hRule="atLeast"/>
        </w:trPr>
        <w:tc>
          <w:tcPr>
            <w:tcW w:w="1339" w:type="dxa"/>
            <w:vMerge w:val="restart"/>
            <w:shd w:val="clear" w:color="auto" w:fill="FFFFFF" w:themeFill="background1"/>
            <w:vAlign w:val="center"/>
          </w:tcPr>
          <w:p>
            <w:pPr>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消费场景</w:t>
            </w:r>
            <w:r>
              <w:rPr>
                <w:rFonts w:hint="eastAsia" w:ascii="宋体" w:hAnsi="宋体"/>
                <w:b/>
                <w:color w:val="000000"/>
                <w:kern w:val="0"/>
                <w:sz w:val="18"/>
                <w:szCs w:val="18"/>
                <w:lang w:eastAsia="zh-CN"/>
              </w:rPr>
              <w:t>丰富</w:t>
            </w:r>
          </w:p>
          <w:p>
            <w:pPr>
              <w:jc w:val="center"/>
              <w:rPr>
                <w:rFonts w:ascii="宋体" w:hAnsi="宋体"/>
                <w:b/>
                <w:color w:val="000000"/>
                <w:kern w:val="0"/>
                <w:sz w:val="18"/>
                <w:szCs w:val="18"/>
              </w:rPr>
            </w:pPr>
            <w:r>
              <w:rPr>
                <w:rFonts w:hint="eastAsia" w:ascii="宋体" w:hAnsi="宋体"/>
                <w:b/>
                <w:color w:val="000000"/>
                <w:kern w:val="0"/>
                <w:sz w:val="18"/>
                <w:szCs w:val="18"/>
              </w:rPr>
              <w:t>（12分）</w:t>
            </w:r>
          </w:p>
        </w:tc>
        <w:tc>
          <w:tcPr>
            <w:tcW w:w="1450" w:type="dxa"/>
            <w:shd w:val="clear" w:color="auto" w:fill="FFFFFF" w:themeFill="background1"/>
            <w:vAlign w:val="center"/>
          </w:tcPr>
          <w:p>
            <w:pPr>
              <w:jc w:val="center"/>
              <w:rPr>
                <w:rFonts w:hint="default" w:ascii="宋体" w:hAnsi="宋体" w:eastAsia="宋体"/>
                <w:b/>
                <w:color w:val="000000"/>
                <w:kern w:val="0"/>
                <w:sz w:val="18"/>
                <w:szCs w:val="18"/>
                <w:lang w:val="en-US" w:eastAsia="zh-Hans"/>
              </w:rPr>
            </w:pPr>
            <w:r>
              <w:rPr>
                <w:rFonts w:hint="eastAsia" w:ascii="宋体" w:hAnsi="宋体"/>
                <w:b/>
                <w:color w:val="000000"/>
                <w:kern w:val="0"/>
                <w:sz w:val="18"/>
                <w:szCs w:val="18"/>
                <w:lang w:eastAsia="zh-CN"/>
              </w:rPr>
              <w:t>传播</w:t>
            </w:r>
            <w:r>
              <w:rPr>
                <w:rFonts w:hint="eastAsia" w:ascii="宋体" w:hAnsi="宋体"/>
                <w:b/>
                <w:color w:val="000000"/>
                <w:kern w:val="0"/>
                <w:sz w:val="18"/>
                <w:szCs w:val="18"/>
                <w:lang w:val="en-US" w:eastAsia="zh-Hans"/>
              </w:rPr>
              <w:t>活动多样</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举办形式多样的购物消费活动、文化内涵丰富的文化活动，以及突出商旅文融合发展的互动活动。（3分）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sz w:val="18"/>
                <w:szCs w:val="18"/>
              </w:rPr>
              <w:t>经常性举办具有影响力的大型购物消费类活动、</w:t>
            </w:r>
            <w:r>
              <w:rPr>
                <w:rFonts w:hint="eastAsia" w:ascii="宋体" w:hAnsi="宋体"/>
                <w:color w:val="000000"/>
                <w:kern w:val="0"/>
                <w:sz w:val="18"/>
                <w:szCs w:val="18"/>
              </w:rPr>
              <w:t>文化内涵丰富的文化活动，以及突出商旅文融合发展的互动活动，每举办一次上述活动得0.5分，最多得3分。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7" w:hRule="atLeast"/>
        </w:trPr>
        <w:tc>
          <w:tcPr>
            <w:tcW w:w="1339" w:type="dxa"/>
            <w:vMerge w:val="continue"/>
            <w:shd w:val="clear" w:color="auto" w:fill="FFFFFF" w:themeFill="background1"/>
          </w:tcPr>
          <w:p>
            <w:pPr>
              <w:widowControl/>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跨界融合</w:t>
            </w:r>
            <w:r>
              <w:rPr>
                <w:rFonts w:hint="eastAsia" w:ascii="宋体" w:hAnsi="宋体"/>
                <w:b/>
                <w:color w:val="000000"/>
                <w:kern w:val="0"/>
                <w:sz w:val="18"/>
                <w:szCs w:val="18"/>
                <w:lang w:val="en-US" w:eastAsia="zh-Hans"/>
              </w:rPr>
              <w:t>精准</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与匹配度高的</w:t>
            </w:r>
            <w:r>
              <w:rPr>
                <w:rFonts w:hint="eastAsia" w:ascii="宋体" w:hAnsi="宋体"/>
                <w:color w:val="000000"/>
                <w:kern w:val="0"/>
                <w:sz w:val="18"/>
                <w:szCs w:val="18"/>
                <w:highlight w:val="none"/>
              </w:rPr>
              <w:t>国货品牌、影视或动漫作品、文创产品等跨界互动，联合打造I</w:t>
            </w:r>
            <w:r>
              <w:rPr>
                <w:rFonts w:ascii="宋体" w:hAnsi="宋体"/>
                <w:color w:val="000000"/>
                <w:kern w:val="0"/>
                <w:sz w:val="18"/>
                <w:szCs w:val="18"/>
                <w:highlight w:val="none"/>
              </w:rPr>
              <w:t>P</w:t>
            </w:r>
            <w:r>
              <w:rPr>
                <w:rFonts w:hint="eastAsia" w:ascii="宋体" w:hAnsi="宋体"/>
                <w:color w:val="000000"/>
                <w:kern w:val="0"/>
                <w:sz w:val="18"/>
                <w:szCs w:val="18"/>
                <w:highlight w:val="none"/>
              </w:rPr>
              <w:t>，共同开展营销，吸引年轻消费群体，推动流量转化，引领国潮热点。（3分）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与匹配度高的国货品牌、影视或动漫作品、文创产品等跨界互动，联合打造I</w:t>
            </w:r>
            <w:r>
              <w:rPr>
                <w:rFonts w:ascii="宋体" w:hAnsi="宋体"/>
                <w:color w:val="000000"/>
                <w:kern w:val="0"/>
                <w:sz w:val="18"/>
                <w:szCs w:val="18"/>
              </w:rPr>
              <w:t>P</w:t>
            </w:r>
            <w:r>
              <w:rPr>
                <w:rFonts w:hint="eastAsia" w:ascii="宋体" w:hAnsi="宋体"/>
                <w:color w:val="000000"/>
                <w:kern w:val="0"/>
                <w:sz w:val="18"/>
                <w:szCs w:val="18"/>
              </w:rPr>
              <w:t>，共同开展营销。每采取一项措施得0.5分，最多得3分。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6" w:hRule="atLeast"/>
        </w:trPr>
        <w:tc>
          <w:tcPr>
            <w:tcW w:w="1339" w:type="dxa"/>
            <w:vMerge w:val="continue"/>
            <w:shd w:val="clear" w:color="auto" w:fill="FFFFFF" w:themeFill="background1"/>
          </w:tcPr>
          <w:p>
            <w:pPr>
              <w:widowControl/>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lang w:eastAsia="zh-CN"/>
              </w:rPr>
              <w:t>营销</w:t>
            </w:r>
            <w:r>
              <w:rPr>
                <w:rFonts w:hint="eastAsia" w:ascii="宋体" w:hAnsi="宋体"/>
                <w:b/>
                <w:color w:val="000000"/>
                <w:kern w:val="0"/>
                <w:sz w:val="18"/>
                <w:szCs w:val="18"/>
              </w:rPr>
              <w:t>渠道</w:t>
            </w:r>
            <w:r>
              <w:rPr>
                <w:rFonts w:hint="eastAsia" w:ascii="宋体" w:hAnsi="宋体"/>
                <w:b/>
                <w:color w:val="000000"/>
                <w:kern w:val="0"/>
                <w:sz w:val="18"/>
                <w:szCs w:val="18"/>
                <w:lang w:val="en-US" w:eastAsia="zh-CN"/>
              </w:rPr>
              <w:t>多元</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运用互联网技术，利用第三方平台、公众号、直播带货、快闪店等方式，全方位推动线上线下营销渠道融合。（3分）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运用互联网技术，利用第三方平台、公众号、直播、快闪店等方式，全方位推动线上线下营销渠道融合，每采取一种线上营销方式可得0.5分，最多得3分。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64" w:hRule="atLeast"/>
        </w:trPr>
        <w:tc>
          <w:tcPr>
            <w:tcW w:w="1339" w:type="dxa"/>
            <w:vMerge w:val="continue"/>
            <w:shd w:val="clear" w:color="auto" w:fill="FFFFFF" w:themeFill="background1"/>
          </w:tcPr>
          <w:p>
            <w:pPr>
              <w:widowControl/>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lang w:val="en-US" w:eastAsia="zh-CN"/>
              </w:rPr>
              <w:t>消费体验提升</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注重设计标识、改进包装、升级店面、提供增值服务等，提升产品消费体验。（3分）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通过注重设计标识、改进包装，升级店面、提供增值服务等措施，提升产品消费体验，吸引更多消费群体，每采用一种措施得0.5分，最多得3分。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05" w:hRule="atLeast"/>
        </w:trPr>
        <w:tc>
          <w:tcPr>
            <w:tcW w:w="1339" w:type="dxa"/>
            <w:vMerge w:val="restart"/>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rPr>
              <w:t>社会贡献</w:t>
            </w:r>
            <w:r>
              <w:rPr>
                <w:rFonts w:hint="eastAsia" w:ascii="宋体" w:hAnsi="宋体"/>
                <w:b/>
                <w:color w:val="000000"/>
                <w:kern w:val="0"/>
                <w:sz w:val="18"/>
                <w:szCs w:val="18"/>
                <w:lang w:eastAsia="zh-CN"/>
              </w:rPr>
              <w:t>杰出</w:t>
            </w:r>
          </w:p>
          <w:p>
            <w:pPr>
              <w:jc w:val="center"/>
              <w:rPr>
                <w:rFonts w:ascii="宋体" w:hAnsi="宋体"/>
                <w:color w:val="000000"/>
                <w:kern w:val="0"/>
                <w:sz w:val="18"/>
                <w:szCs w:val="18"/>
              </w:rPr>
            </w:pPr>
            <w:r>
              <w:rPr>
                <w:rFonts w:hint="eastAsia" w:ascii="宋体" w:hAnsi="宋体"/>
                <w:b/>
                <w:color w:val="000000"/>
                <w:kern w:val="0"/>
                <w:sz w:val="18"/>
                <w:szCs w:val="18"/>
              </w:rPr>
              <w:t>（8分）</w:t>
            </w:r>
          </w:p>
        </w:tc>
        <w:tc>
          <w:tcPr>
            <w:tcW w:w="1450" w:type="dxa"/>
            <w:shd w:val="clear" w:color="auto" w:fill="FFFFFF" w:themeFill="background1"/>
            <w:vAlign w:val="center"/>
          </w:tcPr>
          <w:p>
            <w:pPr>
              <w:widowControl/>
              <w:jc w:val="center"/>
              <w:rPr>
                <w:rFonts w:ascii="宋体" w:hAnsi="宋体" w:cs="黑体"/>
                <w:b/>
                <w:color w:val="000000"/>
                <w:kern w:val="0"/>
                <w:sz w:val="18"/>
                <w:szCs w:val="18"/>
              </w:rPr>
            </w:pPr>
            <w:r>
              <w:rPr>
                <w:rFonts w:hint="eastAsia" w:ascii="宋体" w:hAnsi="宋体"/>
                <w:b/>
                <w:color w:val="000000"/>
                <w:kern w:val="0"/>
                <w:sz w:val="18"/>
                <w:szCs w:val="18"/>
                <w:lang w:eastAsia="zh-CN"/>
              </w:rPr>
              <w:t>履行</w:t>
            </w:r>
            <w:r>
              <w:rPr>
                <w:rFonts w:hint="eastAsia" w:ascii="宋体" w:hAnsi="宋体"/>
                <w:b/>
                <w:color w:val="000000"/>
                <w:kern w:val="0"/>
                <w:sz w:val="18"/>
                <w:szCs w:val="18"/>
              </w:rPr>
              <w:t>社会责任</w:t>
            </w:r>
          </w:p>
        </w:tc>
        <w:tc>
          <w:tcPr>
            <w:tcW w:w="5387"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参与疫情防控、抢险救灾、应急保供等重大任务。（3分）</w:t>
            </w:r>
          </w:p>
        </w:tc>
        <w:tc>
          <w:tcPr>
            <w:tcW w:w="6581"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每参与一次任务得0.5分，最多得3分。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54" w:hRule="atLeast"/>
        </w:trPr>
        <w:tc>
          <w:tcPr>
            <w:tcW w:w="1339" w:type="dxa"/>
            <w:vMerge w:val="continue"/>
            <w:shd w:val="clear" w:color="auto" w:fill="FFFFFF" w:themeFill="background1"/>
            <w:vAlign w:val="center"/>
          </w:tcPr>
          <w:p>
            <w:pPr>
              <w:widowControl/>
              <w:jc w:val="center"/>
              <w:rPr>
                <w:rFonts w:ascii="宋体" w:hAnsi="宋体"/>
                <w:color w:val="000000"/>
                <w:kern w:val="0"/>
                <w:sz w:val="18"/>
                <w:szCs w:val="18"/>
              </w:rPr>
            </w:pPr>
          </w:p>
        </w:tc>
        <w:tc>
          <w:tcPr>
            <w:tcW w:w="1450" w:type="dxa"/>
            <w:shd w:val="clear" w:color="auto" w:fill="FFFFFF" w:themeFill="background1"/>
            <w:vAlign w:val="center"/>
          </w:tcPr>
          <w:p>
            <w:pPr>
              <w:widowControl/>
              <w:jc w:val="center"/>
              <w:rPr>
                <w:rFonts w:ascii="宋体" w:hAnsi="宋体" w:cs="黑体"/>
                <w:b/>
                <w:color w:val="000000"/>
                <w:kern w:val="0"/>
                <w:sz w:val="18"/>
                <w:szCs w:val="18"/>
              </w:rPr>
            </w:pPr>
            <w:r>
              <w:rPr>
                <w:rFonts w:hint="eastAsia" w:ascii="宋体" w:hAnsi="宋体"/>
                <w:b/>
                <w:color w:val="000000"/>
                <w:kern w:val="0"/>
                <w:sz w:val="18"/>
                <w:szCs w:val="18"/>
              </w:rPr>
              <w:t>参与</w:t>
            </w:r>
            <w:r>
              <w:rPr>
                <w:rFonts w:hint="eastAsia" w:ascii="宋体" w:hAnsi="宋体"/>
                <w:b/>
                <w:color w:val="000000"/>
                <w:kern w:val="0"/>
                <w:sz w:val="18"/>
                <w:szCs w:val="18"/>
                <w:lang w:eastAsia="zh-CN"/>
              </w:rPr>
              <w:t>公益</w:t>
            </w:r>
            <w:r>
              <w:rPr>
                <w:rFonts w:hint="eastAsia" w:ascii="宋体" w:hAnsi="宋体"/>
                <w:b/>
                <w:color w:val="000000"/>
                <w:kern w:val="0"/>
                <w:sz w:val="18"/>
                <w:szCs w:val="18"/>
              </w:rPr>
              <w:t>活动</w:t>
            </w:r>
          </w:p>
        </w:tc>
        <w:tc>
          <w:tcPr>
            <w:tcW w:w="5387"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积极参与政府部门、行业协会组织的老字号活动，组织促进行业发展的公益性活动。（3分）</w:t>
            </w:r>
          </w:p>
        </w:tc>
        <w:tc>
          <w:tcPr>
            <w:tcW w:w="6581"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每参与1项政府部门、行业协会组织的老字号活动得0.5分；每组织一次促进行业发展的公益性活动得0.5分。最多得3分。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7" w:hRule="atLeast"/>
        </w:trPr>
        <w:tc>
          <w:tcPr>
            <w:tcW w:w="1339" w:type="dxa"/>
            <w:vMerge w:val="continue"/>
            <w:shd w:val="clear" w:color="auto" w:fill="FFFFFF" w:themeFill="background1"/>
            <w:vAlign w:val="center"/>
          </w:tcPr>
          <w:p>
            <w:pPr>
              <w:widowControl/>
              <w:jc w:val="center"/>
              <w:rPr>
                <w:rFonts w:ascii="宋体" w:hAnsi="宋体"/>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cs="黑体"/>
                <w:b/>
                <w:color w:val="000000"/>
                <w:kern w:val="0"/>
                <w:sz w:val="18"/>
                <w:szCs w:val="18"/>
                <w:lang w:eastAsia="zh-CN"/>
              </w:rPr>
            </w:pPr>
            <w:r>
              <w:rPr>
                <w:rFonts w:hint="eastAsia" w:ascii="宋体" w:hAnsi="宋体"/>
                <w:b/>
                <w:color w:val="000000"/>
                <w:kern w:val="0"/>
                <w:sz w:val="18"/>
                <w:szCs w:val="18"/>
              </w:rPr>
              <w:t>获得荣誉</w:t>
            </w:r>
            <w:r>
              <w:rPr>
                <w:rFonts w:hint="eastAsia" w:ascii="宋体" w:hAnsi="宋体"/>
                <w:b/>
                <w:color w:val="000000"/>
                <w:kern w:val="0"/>
                <w:sz w:val="18"/>
                <w:szCs w:val="18"/>
                <w:lang w:eastAsia="zh-CN"/>
              </w:rPr>
              <w:t>奖励</w:t>
            </w:r>
          </w:p>
        </w:tc>
        <w:tc>
          <w:tcPr>
            <w:tcW w:w="5387"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sz w:val="18"/>
                <w:szCs w:val="18"/>
              </w:rPr>
              <w:t>相关商标、产品或企业获得荣誉情况。（2分）</w:t>
            </w:r>
          </w:p>
        </w:tc>
        <w:tc>
          <w:tcPr>
            <w:tcW w:w="6581"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相关</w:t>
            </w:r>
            <w:r>
              <w:rPr>
                <w:rFonts w:hint="eastAsia" w:ascii="宋体" w:hAnsi="宋体"/>
                <w:color w:val="000000"/>
                <w:sz w:val="18"/>
                <w:szCs w:val="18"/>
              </w:rPr>
              <w:t>商标、产品或企业</w:t>
            </w:r>
            <w:r>
              <w:rPr>
                <w:rFonts w:hint="eastAsia" w:ascii="宋体" w:hAnsi="宋体"/>
                <w:color w:val="000000"/>
                <w:kern w:val="0"/>
                <w:sz w:val="18"/>
                <w:szCs w:val="18"/>
              </w:rPr>
              <w:t>获得国家级荣誉称号（2分）；</w:t>
            </w:r>
            <w:r>
              <w:rPr>
                <w:rFonts w:hint="eastAsia" w:ascii="宋体" w:hAnsi="宋体"/>
                <w:color w:val="000000"/>
                <w:sz w:val="18"/>
                <w:szCs w:val="18"/>
              </w:rPr>
              <w:t>相关商标、产品或企业获得省级荣誉称号（1.5分）；</w:t>
            </w:r>
            <w:r>
              <w:rPr>
                <w:rFonts w:hint="eastAsia" w:ascii="宋体" w:hAnsi="宋体"/>
                <w:color w:val="000000"/>
                <w:kern w:val="0"/>
                <w:sz w:val="18"/>
                <w:szCs w:val="18"/>
              </w:rPr>
              <w:t>相关</w:t>
            </w:r>
            <w:r>
              <w:rPr>
                <w:rFonts w:hint="eastAsia" w:ascii="宋体" w:hAnsi="宋体"/>
                <w:color w:val="000000"/>
                <w:sz w:val="18"/>
                <w:szCs w:val="18"/>
              </w:rPr>
              <w:t>商标、产品或企业</w:t>
            </w:r>
            <w:r>
              <w:rPr>
                <w:rFonts w:hint="eastAsia" w:ascii="宋体" w:hAnsi="宋体"/>
                <w:color w:val="000000"/>
                <w:kern w:val="0"/>
                <w:sz w:val="18"/>
                <w:szCs w:val="18"/>
              </w:rPr>
              <w:t>获得市级、县级等荣誉称号（1分）；相关</w:t>
            </w:r>
            <w:r>
              <w:rPr>
                <w:rFonts w:hint="eastAsia" w:ascii="宋体" w:hAnsi="宋体"/>
                <w:color w:val="000000"/>
                <w:sz w:val="18"/>
                <w:szCs w:val="18"/>
              </w:rPr>
              <w:t>商标、产品或企业</w:t>
            </w:r>
            <w:r>
              <w:rPr>
                <w:rFonts w:hint="eastAsia" w:ascii="宋体" w:hAnsi="宋体"/>
                <w:color w:val="000000"/>
                <w:kern w:val="0"/>
                <w:sz w:val="18"/>
                <w:szCs w:val="18"/>
              </w:rPr>
              <w:t>获得其他荣誉称号（0.5分）。同时获得国家级、省级、市县级荣誉称号的，按所获的最高层级荣誉称号得分，不重复得分。</w:t>
            </w:r>
          </w:p>
        </w:tc>
      </w:tr>
    </w:tbl>
    <w:p>
      <w:pPr>
        <w:pStyle w:val="8"/>
        <w:spacing w:line="360" w:lineRule="auto"/>
        <w:ind w:firstLine="481" w:firstLineChars="200"/>
        <w:rPr>
          <w:rFonts w:ascii="宋体" w:hAnsi="宋体" w:cs="宋体"/>
          <w:b/>
          <w:sz w:val="24"/>
          <w:szCs w:val="24"/>
        </w:rPr>
      </w:pPr>
      <w:r>
        <w:rPr>
          <w:rFonts w:hint="eastAsia" w:ascii="宋体" w:hAnsi="宋体" w:cs="宋体"/>
          <w:b/>
          <w:sz w:val="24"/>
          <w:szCs w:val="24"/>
        </w:rPr>
        <w:t>编制说明：</w:t>
      </w:r>
    </w:p>
    <w:p>
      <w:pPr>
        <w:pStyle w:val="8"/>
        <w:spacing w:line="360" w:lineRule="auto"/>
        <w:ind w:firstLine="481" w:firstLineChars="200"/>
        <w:rPr>
          <w:rFonts w:ascii="宋体" w:hAnsi="宋体" w:cs="宋体"/>
          <w:b/>
          <w:sz w:val="24"/>
          <w:szCs w:val="24"/>
        </w:rPr>
      </w:pPr>
      <w:r>
        <w:rPr>
          <w:rFonts w:hint="eastAsia" w:ascii="宋体" w:hAnsi="宋体" w:cs="宋体"/>
          <w:b/>
          <w:sz w:val="24"/>
          <w:szCs w:val="24"/>
        </w:rPr>
        <w:t>1.编制背景</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1.1本评价指标是对《中华老字号示范创建管理办法》相关内容的补充。</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1.2本评价指标用于“中华老字号”示范创建工作。</w:t>
      </w:r>
    </w:p>
    <w:p>
      <w:pPr>
        <w:pStyle w:val="8"/>
        <w:spacing w:line="360" w:lineRule="auto"/>
        <w:ind w:firstLine="481" w:firstLineChars="200"/>
        <w:rPr>
          <w:rFonts w:ascii="宋体" w:hAnsi="宋体" w:cs="宋体"/>
          <w:b/>
          <w:sz w:val="24"/>
          <w:szCs w:val="24"/>
        </w:rPr>
      </w:pPr>
      <w:r>
        <w:rPr>
          <w:rFonts w:hint="eastAsia" w:ascii="宋体" w:hAnsi="宋体" w:cs="宋体"/>
          <w:b/>
          <w:sz w:val="24"/>
          <w:szCs w:val="24"/>
        </w:rPr>
        <w:t>2.适用范围</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2.1本评价指标适用于申报中华老字号示范创建的企业。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2.2本评价指标从历史文化</w:t>
      </w:r>
      <w:r>
        <w:rPr>
          <w:rFonts w:hint="eastAsia" w:ascii="宋体" w:hAnsi="宋体" w:cs="宋体"/>
          <w:sz w:val="24"/>
          <w:szCs w:val="24"/>
          <w:lang w:eastAsia="zh-CN"/>
        </w:rPr>
        <w:t>深厚</w:t>
      </w:r>
      <w:r>
        <w:rPr>
          <w:rFonts w:hint="eastAsia" w:ascii="宋体" w:hAnsi="宋体" w:cs="宋体"/>
          <w:sz w:val="24"/>
          <w:szCs w:val="24"/>
        </w:rPr>
        <w:t>、经营管理</w:t>
      </w:r>
      <w:r>
        <w:rPr>
          <w:rFonts w:hint="eastAsia" w:ascii="宋体" w:hAnsi="宋体" w:cs="宋体"/>
          <w:sz w:val="24"/>
          <w:szCs w:val="24"/>
          <w:lang w:eastAsia="zh-CN"/>
        </w:rPr>
        <w:t>规范</w:t>
      </w:r>
      <w:r>
        <w:rPr>
          <w:rFonts w:hint="eastAsia" w:ascii="宋体" w:hAnsi="宋体" w:cs="宋体"/>
          <w:sz w:val="24"/>
          <w:szCs w:val="24"/>
        </w:rPr>
        <w:t>、创新发展</w:t>
      </w:r>
      <w:r>
        <w:rPr>
          <w:rFonts w:hint="eastAsia" w:ascii="宋体" w:hAnsi="宋体" w:cs="宋体"/>
          <w:sz w:val="24"/>
          <w:szCs w:val="24"/>
          <w:lang w:eastAsia="zh-CN"/>
        </w:rPr>
        <w:t>能力突出</w:t>
      </w:r>
      <w:r>
        <w:rPr>
          <w:rFonts w:hint="eastAsia" w:ascii="宋体" w:hAnsi="宋体" w:cs="宋体"/>
          <w:sz w:val="24"/>
          <w:szCs w:val="24"/>
        </w:rPr>
        <w:t>三个方面开展评价，总分100分。</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2.3对于近3年发生过重大安全责任事故、重大侵犯知识产权或消费者权益事件，或被相关部门列入严重违法失信名单的不予赋分。</w:t>
      </w:r>
    </w:p>
    <w:p>
      <w:pPr>
        <w:pStyle w:val="8"/>
        <w:spacing w:line="360" w:lineRule="auto"/>
        <w:ind w:firstLine="480" w:firstLineChars="200"/>
      </w:pPr>
      <w:r>
        <w:rPr>
          <w:rFonts w:hint="eastAsia" w:ascii="宋体" w:hAnsi="宋体" w:cs="宋体"/>
          <w:sz w:val="24"/>
          <w:szCs w:val="24"/>
        </w:rPr>
        <w:t>2.4本评价指标根据发展需要适时修订。</w:t>
      </w: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ZDA2YmU4MzFjZWIyMmI0MTUwYWYwM2RhNGYwM2YifQ=="/>
  </w:docVars>
  <w:rsids>
    <w:rsidRoot w:val="6FFF6257"/>
    <w:rsid w:val="001300E4"/>
    <w:rsid w:val="003B5D2E"/>
    <w:rsid w:val="003F21BB"/>
    <w:rsid w:val="00622FE0"/>
    <w:rsid w:val="00C26156"/>
    <w:rsid w:val="16DB91DF"/>
    <w:rsid w:val="24F425B3"/>
    <w:rsid w:val="3BDDD76C"/>
    <w:rsid w:val="3F77F065"/>
    <w:rsid w:val="3FFFDE04"/>
    <w:rsid w:val="413936AC"/>
    <w:rsid w:val="41F57644"/>
    <w:rsid w:val="5F9502A0"/>
    <w:rsid w:val="5FDFA7E9"/>
    <w:rsid w:val="5FF58A51"/>
    <w:rsid w:val="6E7DA73C"/>
    <w:rsid w:val="6FFF6257"/>
    <w:rsid w:val="7DEFE5E2"/>
    <w:rsid w:val="7F572D06"/>
    <w:rsid w:val="7F5919BC"/>
    <w:rsid w:val="7F8738A2"/>
    <w:rsid w:val="7FAD955E"/>
    <w:rsid w:val="B6E6395E"/>
    <w:rsid w:val="BBDF45B4"/>
    <w:rsid w:val="BEBF4FA6"/>
    <w:rsid w:val="DFF70A0D"/>
    <w:rsid w:val="EBDF1C5A"/>
    <w:rsid w:val="EFF57D96"/>
    <w:rsid w:val="F7BF1BD1"/>
    <w:rsid w:val="FD2EEF77"/>
    <w:rsid w:val="FEFF0FB7"/>
    <w:rsid w:val="FEFF340B"/>
    <w:rsid w:val="FF7D0544"/>
    <w:rsid w:val="FFEF7668"/>
    <w:rsid w:val="FFFE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华文中宋"/>
      <w:b/>
      <w:bCs/>
      <w:kern w:val="44"/>
      <w:sz w:val="36"/>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618</Words>
  <Characters>3529</Characters>
  <Lines>29</Lines>
  <Paragraphs>8</Paragraphs>
  <TotalTime>362</TotalTime>
  <ScaleCrop>false</ScaleCrop>
  <LinksUpToDate>false</LinksUpToDate>
  <CharactersWithSpaces>4139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2022-11-29T17:23:00Z</dcterms:created>
  <dc:creator>wyh</dc:creator>
  <cp:lastModifiedBy>wyh</cp:lastModifiedBy>
  <cp:lastPrinted>2023-04-14T01:56:00Z</cp:lastPrinted>
  <dcterms:modified xsi:type="dcterms:W3CDTF">2023-04-13T19:45:59Z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0C8CC9DB7CCDB923FA70C963A559D5B9</vt:lpwstr>
  </property>
</Properties>
</file>