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right="-20"/>
        <w:contextualSpacing/>
        <w:jc w:val="both"/>
        <w:textAlignment w:val="auto"/>
        <w:rPr>
          <w:rFonts w:ascii="Times New Roman" w:hAnsi="Times New Roman" w:eastAsia="方正黑体_GBK" w:cs="Times New Roman"/>
          <w:sz w:val="32"/>
          <w:szCs w:val="32"/>
          <w:lang w:val="en-US" w:eastAsia="zh-CN"/>
        </w:rPr>
      </w:pPr>
      <w:bookmarkStart w:id="0" w:name="_GoBack"/>
      <w:bookmarkEnd w:id="0"/>
      <w:r>
        <w:rPr>
          <w:rFonts w:ascii="Times New Roman" w:hAnsi="Times New Roman" w:eastAsia="方正黑体_GBK" w:cs="Times New Roman"/>
          <w:sz w:val="32"/>
          <w:szCs w:val="32"/>
        </w:rPr>
        <w:t>附件</w:t>
      </w:r>
      <w:r>
        <w:rPr>
          <w:rFonts w:ascii="Times New Roman" w:hAnsi="Times New Roman" w:eastAsia="方正黑体_GBK" w:cs="Times New Roman"/>
          <w:sz w:val="32"/>
          <w:szCs w:val="32"/>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right="-20"/>
        <w:contextualSpacing/>
        <w:jc w:val="both"/>
        <w:textAlignment w:val="auto"/>
        <w:rPr>
          <w:rFonts w:ascii="Times New Roman" w:hAnsi="Times New Roman" w:eastAsia="方正仿宋_GBK" w:cs="Times New Roman"/>
          <w:w w:val="113"/>
          <w:sz w:val="21"/>
          <w:szCs w:val="21"/>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cs="Times New Roman"/>
          <w:sz w:val="32"/>
          <w:szCs w:val="32"/>
        </w:rPr>
      </w:pPr>
      <w:r>
        <w:rPr>
          <w:rFonts w:eastAsia="方正小标宋_GBK" w:cs="Times New Roman"/>
          <w:sz w:val="44"/>
          <w:szCs w:val="44"/>
        </w:rPr>
        <w:t>出口前冷处理操作程序</w:t>
      </w:r>
    </w:p>
    <w:p>
      <w:pPr>
        <w:pStyle w:val="5"/>
        <w:keepNext w:val="0"/>
        <w:keepLines w:val="0"/>
        <w:pageBreakBefore w:val="0"/>
        <w:widowControl w:val="0"/>
        <w:tabs>
          <w:tab w:val="left" w:pos="2678"/>
        </w:tabs>
        <w:kinsoku/>
        <w:wordWrap/>
        <w:overflowPunct/>
        <w:topLinePunct w:val="0"/>
        <w:autoSpaceDE/>
        <w:autoSpaceDN/>
        <w:bidi w:val="0"/>
        <w:adjustRightInd w:val="0"/>
        <w:snapToGrid w:val="0"/>
        <w:spacing w:after="0" w:line="560" w:lineRule="exact"/>
        <w:jc w:val="both"/>
        <w:textAlignment w:val="auto"/>
        <w:rPr>
          <w:rFonts w:ascii="Times New Roman" w:hAnsi="Times New Roman" w:eastAsia="方正仿宋_GBK" w:cs="Times New Roman"/>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lang w:val="en-US" w:eastAsia="zh-CN"/>
        </w:rPr>
        <w:t>一、</w:t>
      </w:r>
      <w:r>
        <w:rPr>
          <w:rFonts w:hint="eastAsia" w:ascii="Times New Roman" w:hAnsi="Times New Roman" w:eastAsia="方正黑体_GBK" w:cs="方正黑体_GBK"/>
          <w:b w:val="0"/>
          <w:bCs w:val="0"/>
          <w:sz w:val="32"/>
          <w:szCs w:val="32"/>
        </w:rPr>
        <w:t>冷处理设施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olor w:val="000000"/>
          <w:kern w:val="0"/>
          <w:sz w:val="32"/>
          <w:szCs w:val="32"/>
        </w:rPr>
        <w:t>．</w:t>
      </w:r>
      <w:r>
        <w:rPr>
          <w:rFonts w:ascii="Times New Roman" w:hAnsi="Times New Roman" w:eastAsia="方正仿宋_GBK" w:cs="Times New Roman"/>
          <w:sz w:val="32"/>
          <w:szCs w:val="32"/>
        </w:rPr>
        <w:t>装运前冷处理只能在</w:t>
      </w:r>
      <w:r>
        <w:rPr>
          <w:rFonts w:ascii="Times New Roman" w:hAnsi="Times New Roman" w:eastAsia="方正仿宋_GBK" w:cs="Times New Roman"/>
          <w:color w:val="000000"/>
          <w:sz w:val="32"/>
          <w:szCs w:val="32"/>
        </w:rPr>
        <w:t>伊方</w:t>
      </w:r>
      <w:r>
        <w:rPr>
          <w:rFonts w:ascii="Times New Roman" w:hAnsi="Times New Roman" w:eastAsia="方正仿宋_GBK" w:cs="Times New Roman"/>
          <w:sz w:val="32"/>
          <w:szCs w:val="32"/>
        </w:rPr>
        <w:t>批准的冷处理设施内进行。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olor w:val="000000"/>
          <w:kern w:val="0"/>
          <w:sz w:val="32"/>
          <w:szCs w:val="32"/>
        </w:rPr>
        <w:t>．</w:t>
      </w:r>
      <w:r>
        <w:rPr>
          <w:rFonts w:ascii="Times New Roman" w:hAnsi="Times New Roman" w:eastAsia="方正仿宋_GBK" w:cs="Times New Roman"/>
          <w:sz w:val="32"/>
          <w:szCs w:val="32"/>
        </w:rPr>
        <w:t>伊方或其授权人员负责确保出口商使用的冷处理设施符合标准且具有能使水果达到和维持所需温度的制冷设备。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Times New Roman" w:eastAsia="方正仿宋_GBK"/>
          <w:color w:val="000000"/>
          <w:kern w:val="0"/>
          <w:sz w:val="32"/>
          <w:szCs w:val="32"/>
        </w:rPr>
        <w:t>．</w:t>
      </w:r>
      <w:r>
        <w:rPr>
          <w:rFonts w:ascii="Times New Roman" w:hAnsi="Times New Roman" w:eastAsia="方正仿宋_GBK" w:cs="Times New Roman"/>
          <w:sz w:val="32"/>
          <w:szCs w:val="32"/>
        </w:rPr>
        <w:t>伊方或其授权人员将保留批准用于输华鲜食苹果装运前处理的冷处理设施注册文件。该文件包括说明以下内容：</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1</w:t>
      </w:r>
      <w:r>
        <w:rPr>
          <w:rFonts w:hint="eastAsia" w:eastAsia="方正仿宋_GBK" w:cs="Times New Roman"/>
          <w:sz w:val="32"/>
          <w:szCs w:val="32"/>
          <w:lang w:eastAsia="zh-CN"/>
        </w:rPr>
        <w:t>）</w:t>
      </w:r>
      <w:r>
        <w:rPr>
          <w:rFonts w:eastAsia="方正仿宋_GBK" w:cs="Times New Roman"/>
          <w:sz w:val="32"/>
          <w:szCs w:val="32"/>
        </w:rPr>
        <w:t>所有设施的位置及构建计划，包括所有者/操作者的详细联系方式；</w:t>
      </w:r>
    </w:p>
    <w:p>
      <w:pPr>
        <w:pStyle w:val="12"/>
        <w:keepNext w:val="0"/>
        <w:keepLines w:val="0"/>
        <w:pageBreakBefore w:val="0"/>
        <w:widowControl w:val="0"/>
        <w:tabs>
          <w:tab w:val="left" w:pos="82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2</w:t>
      </w:r>
      <w:r>
        <w:rPr>
          <w:rFonts w:hint="eastAsia" w:eastAsia="方正仿宋_GBK" w:cs="Times New Roman"/>
          <w:sz w:val="32"/>
          <w:szCs w:val="32"/>
          <w:lang w:eastAsia="zh-CN"/>
        </w:rPr>
        <w:t>）</w:t>
      </w:r>
      <w:r>
        <w:rPr>
          <w:rFonts w:eastAsia="方正仿宋_GBK" w:cs="Times New Roman"/>
          <w:sz w:val="32"/>
          <w:szCs w:val="32"/>
        </w:rPr>
        <w:t>设施的尺寸及容量；</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w:t>
      </w:r>
      <w:r>
        <w:rPr>
          <w:rFonts w:eastAsia="方正仿宋_GBK" w:cs="Times New Roman"/>
          <w:sz w:val="32"/>
          <w:szCs w:val="32"/>
        </w:rPr>
        <w:t>墙壁、天花板和地板的隔热类型；</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4</w:t>
      </w:r>
      <w:r>
        <w:rPr>
          <w:rFonts w:hint="eastAsia" w:eastAsia="方正仿宋_GBK" w:cs="Times New Roman"/>
          <w:sz w:val="32"/>
          <w:szCs w:val="32"/>
          <w:lang w:eastAsia="zh-CN"/>
        </w:rPr>
        <w:t>）</w:t>
      </w:r>
      <w:r>
        <w:rPr>
          <w:rFonts w:eastAsia="方正仿宋_GBK" w:cs="Times New Roman"/>
          <w:sz w:val="32"/>
          <w:szCs w:val="32"/>
        </w:rPr>
        <w:t>制冷压缩机及蒸发器/空气循环系统的品牌、样式、类型和容量等；</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5</w:t>
      </w:r>
      <w:r>
        <w:rPr>
          <w:rFonts w:hint="eastAsia" w:eastAsia="方正仿宋_GBK" w:cs="Times New Roman"/>
          <w:sz w:val="32"/>
          <w:szCs w:val="32"/>
          <w:lang w:eastAsia="zh-CN"/>
        </w:rPr>
        <w:t>）</w:t>
      </w:r>
      <w:r>
        <w:rPr>
          <w:rFonts w:eastAsia="方正仿宋_GBK" w:cs="Times New Roman"/>
          <w:sz w:val="32"/>
          <w:szCs w:val="32"/>
        </w:rPr>
        <w:t>设备的温度范围、除霜循环控制和任何集成的温度记录设备的规格及详细资料等。</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sz w:val="32"/>
          <w:szCs w:val="32"/>
        </w:rPr>
      </w:pPr>
      <w:r>
        <w:rPr>
          <w:rFonts w:eastAsia="方正仿宋_GBK" w:cs="Times New Roman"/>
          <w:sz w:val="32"/>
          <w:szCs w:val="32"/>
        </w:rPr>
        <w:t>4</w:t>
      </w:r>
      <w:r>
        <w:rPr>
          <w:rFonts w:eastAsia="方正仿宋_GBK"/>
          <w:color w:val="000000"/>
          <w:kern w:val="0"/>
          <w:sz w:val="32"/>
          <w:szCs w:val="32"/>
        </w:rPr>
        <w:t>．</w:t>
      </w:r>
      <w:r>
        <w:rPr>
          <w:rFonts w:eastAsia="方正仿宋_GBK" w:cs="Times New Roman"/>
          <w:sz w:val="32"/>
          <w:szCs w:val="32"/>
        </w:rPr>
        <w:t>在每个鲜食苹果季节开始之前，伊方将向中方提交当前注册的冷处理设施的名称和地址。</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hint="eastAsia" w:eastAsia="方正黑体_GBK" w:cs="方正黑体_GBK"/>
          <w:b w:val="0"/>
          <w:bCs w:val="0"/>
          <w:sz w:val="32"/>
          <w:szCs w:val="32"/>
        </w:rPr>
      </w:pPr>
      <w:r>
        <w:rPr>
          <w:rFonts w:hint="eastAsia" w:eastAsia="方正黑体_GBK" w:cs="方正黑体_GBK"/>
          <w:b w:val="0"/>
          <w:bCs w:val="0"/>
          <w:sz w:val="32"/>
          <w:szCs w:val="32"/>
          <w:lang w:val="en-US" w:eastAsia="zh-CN"/>
        </w:rPr>
        <w:t>二、</w:t>
      </w:r>
      <w:r>
        <w:rPr>
          <w:rFonts w:hint="eastAsia" w:eastAsia="方正黑体_GBK" w:cs="方正黑体_GBK"/>
          <w:b w:val="0"/>
          <w:bCs w:val="0"/>
          <w:sz w:val="32"/>
          <w:szCs w:val="32"/>
        </w:rPr>
        <w:t>记录仪的类型</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sz w:val="32"/>
          <w:szCs w:val="32"/>
        </w:rPr>
      </w:pPr>
      <w:r>
        <w:rPr>
          <w:rFonts w:eastAsia="方正仿宋_GBK" w:cs="Times New Roman"/>
          <w:sz w:val="32"/>
          <w:szCs w:val="32"/>
        </w:rPr>
        <w:t>伊方或其授权人员应确保采用适当的温度探针和温度记录仪：</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探针温度在-3.0</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到+3.0</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之间时的误差值在±0.15</w:t>
      </w:r>
      <w:r>
        <w:rPr>
          <w:rFonts w:ascii="Times New Roman" w:hAnsi="Times New Roman" w:eastAsia="方正仿宋简体" w:cs="Times New Roman"/>
          <w:color w:val="000000"/>
          <w:sz w:val="32"/>
          <w:szCs w:val="32"/>
          <w:lang w:val="en-CA"/>
        </w:rPr>
        <w:t>°C</w:t>
      </w:r>
      <w:r>
        <w:rPr>
          <w:rFonts w:hint="eastAsia" w:ascii="Times New Roman" w:hAnsi="Times New Roman" w:eastAsia="方正仿宋_GBK"/>
          <w:color w:val="000000"/>
          <w:sz w:val="32"/>
          <w:szCs w:val="32"/>
        </w:rPr>
        <w:t>之内</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olor w:val="000000"/>
          <w:kern w:val="0"/>
          <w:sz w:val="32"/>
          <w:szCs w:val="32"/>
        </w:rPr>
        <w:t>．</w:t>
      </w:r>
      <w:r>
        <w:rPr>
          <w:rFonts w:ascii="Times New Roman" w:hAnsi="Times New Roman" w:eastAsia="方正仿宋_GBK" w:cs="Times New Roman"/>
          <w:sz w:val="32"/>
          <w:szCs w:val="32"/>
        </w:rPr>
        <w:t>有足够数量的探针；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olor w:val="000000"/>
          <w:kern w:val="0"/>
          <w:sz w:val="32"/>
          <w:szCs w:val="32"/>
        </w:rPr>
        <w:t>．</w:t>
      </w:r>
      <w:r>
        <w:rPr>
          <w:rFonts w:ascii="Times New Roman" w:hAnsi="Times New Roman" w:eastAsia="方正仿宋_GBK" w:cs="Times New Roman"/>
          <w:sz w:val="32"/>
          <w:szCs w:val="32"/>
        </w:rPr>
        <w:t>能够记录并储存处理过程的数据；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olor w:val="000000"/>
          <w:kern w:val="0"/>
          <w:sz w:val="32"/>
          <w:szCs w:val="32"/>
        </w:rPr>
        <w:t>．</w:t>
      </w:r>
      <w:r>
        <w:rPr>
          <w:rFonts w:ascii="Times New Roman" w:hAnsi="Times New Roman" w:eastAsia="方正仿宋_GBK" w:cs="Times New Roman"/>
          <w:color w:val="000000"/>
          <w:sz w:val="32"/>
          <w:szCs w:val="32"/>
        </w:rPr>
        <w:t>能够每小时至少记录一次所有探针的温度，记录显示应满足探针要求的精度</w:t>
      </w:r>
      <w:r>
        <w:rPr>
          <w:rFonts w:ascii="Times New Roman" w:hAnsi="Times New Roman" w:eastAsia="方正仿宋_GBK" w:cs="Times New Roman"/>
          <w:sz w:val="32"/>
          <w:szCs w:val="32"/>
        </w:rPr>
        <w:t>，该数据信息由伊方或其授权人员查验；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olor w:val="000000"/>
          <w:kern w:val="0"/>
          <w:sz w:val="32"/>
          <w:szCs w:val="32"/>
        </w:rPr>
        <w:t>．</w:t>
      </w:r>
      <w:r>
        <w:rPr>
          <w:rFonts w:ascii="Times New Roman" w:hAnsi="Times New Roman" w:eastAsia="方正仿宋_GBK" w:cs="Times New Roman"/>
          <w:color w:val="000000"/>
          <w:sz w:val="32"/>
          <w:szCs w:val="32"/>
        </w:rPr>
        <w:t>打印出的温度记录，应有对应每个探针记录的时间和温度，</w:t>
      </w:r>
      <w:r>
        <w:rPr>
          <w:rFonts w:ascii="Times New Roman" w:hAnsi="Times New Roman" w:eastAsia="方正仿宋_GBK" w:cs="Times New Roman"/>
          <w:sz w:val="32"/>
          <w:szCs w:val="32"/>
        </w:rPr>
        <w:t>并注明记录仪和集装箱的识别号的结果</w:t>
      </w:r>
      <w:r>
        <w:rPr>
          <w:rFonts w:ascii="Times New Roman" w:hAnsi="Times New Roman" w:eastAsia="方正仿宋_GBK" w:cs="Times New Roman"/>
          <w:color w:val="000000"/>
          <w:sz w:val="32"/>
          <w:szCs w:val="32"/>
        </w:rPr>
        <w:t>。</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b/>
          <w:bCs/>
          <w:color w:val="000000"/>
          <w:sz w:val="32"/>
          <w:szCs w:val="32"/>
        </w:rPr>
      </w:pPr>
      <w:r>
        <w:rPr>
          <w:rFonts w:hint="eastAsia" w:eastAsia="方正黑体_GBK" w:cs="方正黑体_GBK"/>
          <w:b w:val="0"/>
          <w:bCs w:val="0"/>
          <w:color w:val="000000"/>
          <w:sz w:val="32"/>
          <w:szCs w:val="32"/>
          <w:lang w:val="en-US" w:eastAsia="zh-CN"/>
        </w:rPr>
        <w:t>三、</w:t>
      </w:r>
      <w:r>
        <w:rPr>
          <w:rFonts w:hint="eastAsia" w:eastAsia="方正黑体_GBK" w:cs="方正黑体_GBK"/>
          <w:b w:val="0"/>
          <w:bCs w:val="0"/>
          <w:color w:val="000000"/>
          <w:sz w:val="32"/>
          <w:szCs w:val="32"/>
        </w:rPr>
        <w:t>温度的校正</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eastAsia="方正仿宋_GBK" w:cs="Times New Roman"/>
          <w:color w:val="000000"/>
          <w:sz w:val="32"/>
          <w:szCs w:val="32"/>
        </w:rPr>
        <w:t>校正必须用由</w:t>
      </w:r>
      <w:r>
        <w:rPr>
          <w:rFonts w:eastAsia="方正仿宋_GBK" w:cs="Times New Roman"/>
          <w:sz w:val="32"/>
          <w:szCs w:val="32"/>
        </w:rPr>
        <w:t>伊方</w:t>
      </w:r>
      <w:r>
        <w:rPr>
          <w:rFonts w:eastAsia="方正仿宋_GBK" w:cs="Times New Roman"/>
          <w:color w:val="000000"/>
          <w:sz w:val="32"/>
          <w:szCs w:val="32"/>
        </w:rPr>
        <w:t>批准的标准温度计在碎冰和蒸馏水混合物中进行。</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hint="eastAsia" w:eastAsia="方正仿宋_GBK" w:cs="Times New Roman"/>
          <w:color w:val="000000"/>
          <w:sz w:val="32"/>
          <w:szCs w:val="32"/>
          <w:lang w:val="en-US" w:eastAsia="zh-CN"/>
        </w:rPr>
        <w:t>1</w:t>
      </w:r>
      <w:r>
        <w:rPr>
          <w:rFonts w:eastAsia="方正仿宋_GBK"/>
          <w:color w:val="000000"/>
          <w:kern w:val="0"/>
          <w:sz w:val="32"/>
          <w:szCs w:val="32"/>
        </w:rPr>
        <w:t>．</w:t>
      </w:r>
      <w:r>
        <w:rPr>
          <w:rFonts w:eastAsia="方正仿宋_GBK" w:cs="Times New Roman"/>
          <w:color w:val="000000"/>
          <w:sz w:val="32"/>
          <w:szCs w:val="32"/>
        </w:rPr>
        <w:t>读数超出0°C±0.3°C的探针都必须更换；</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sz w:val="32"/>
          <w:szCs w:val="32"/>
          <w:lang w:val="en-US" w:eastAsia="zh-CN"/>
        </w:rPr>
        <w:t>2</w:t>
      </w:r>
      <w:r>
        <w:rPr>
          <w:rFonts w:eastAsia="方正仿宋_GBK"/>
          <w:color w:val="000000"/>
          <w:kern w:val="0"/>
          <w:sz w:val="32"/>
          <w:szCs w:val="32"/>
        </w:rPr>
        <w:t>．</w:t>
      </w:r>
      <w:r>
        <w:rPr>
          <w:rFonts w:eastAsia="方正仿宋_GBK" w:cs="Times New Roman"/>
          <w:sz w:val="32"/>
          <w:szCs w:val="32"/>
        </w:rPr>
        <w:t>在处理完成时，伊方或其授权人员将用此前提及的方法验证果温探针的校正值。</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hint="eastAsia" w:eastAsia="方正黑体_GBK" w:cs="方正黑体_GBK"/>
          <w:b w:val="0"/>
          <w:bCs w:val="0"/>
          <w:color w:val="000000"/>
          <w:sz w:val="32"/>
          <w:szCs w:val="32"/>
        </w:rPr>
      </w:pPr>
      <w:r>
        <w:rPr>
          <w:rFonts w:hint="eastAsia" w:eastAsia="方正黑体_GBK" w:cs="方正黑体_GBK"/>
          <w:b w:val="0"/>
          <w:bCs w:val="0"/>
          <w:color w:val="000000"/>
          <w:sz w:val="32"/>
          <w:szCs w:val="32"/>
          <w:lang w:val="en-US" w:eastAsia="zh-CN"/>
        </w:rPr>
        <w:t>四、</w:t>
      </w:r>
      <w:r>
        <w:rPr>
          <w:rFonts w:hint="eastAsia" w:eastAsia="方正黑体_GBK" w:cs="方正黑体_GBK"/>
          <w:b w:val="0"/>
          <w:bCs w:val="0"/>
          <w:color w:val="000000"/>
          <w:sz w:val="32"/>
          <w:szCs w:val="32"/>
        </w:rPr>
        <w:t>温度探针的安插</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eastAsia="方正仿宋_GBK" w:cs="Times New Roman"/>
          <w:color w:val="000000"/>
          <w:sz w:val="32"/>
          <w:szCs w:val="32"/>
          <w:lang w:val="en-US" w:eastAsia="zh-CN"/>
        </w:rPr>
        <w:t>1</w:t>
      </w:r>
      <w:r>
        <w:rPr>
          <w:rFonts w:eastAsia="方正仿宋_GBK" w:cs="Times New Roman"/>
          <w:color w:val="000000"/>
          <w:kern w:val="0"/>
          <w:sz w:val="32"/>
          <w:szCs w:val="32"/>
        </w:rPr>
        <w:t>．</w:t>
      </w:r>
      <w:r>
        <w:rPr>
          <w:rFonts w:eastAsia="方正仿宋_GBK" w:cs="Times New Roman"/>
          <w:sz w:val="32"/>
          <w:szCs w:val="32"/>
        </w:rPr>
        <w:t>上托盘的苹果必须在伊方</w:t>
      </w:r>
      <w:r>
        <w:rPr>
          <w:rFonts w:eastAsia="方正仿宋_GBK" w:cs="Times New Roman"/>
          <w:color w:val="000000"/>
          <w:sz w:val="32"/>
          <w:szCs w:val="32"/>
        </w:rPr>
        <w:t>或</w:t>
      </w:r>
      <w:r>
        <w:rPr>
          <w:rFonts w:eastAsia="方正仿宋_GBK" w:cs="Times New Roman"/>
          <w:sz w:val="32"/>
          <w:szCs w:val="32"/>
        </w:rPr>
        <w:t>其</w:t>
      </w:r>
      <w:r>
        <w:rPr>
          <w:rFonts w:eastAsia="方正仿宋_GBK" w:cs="Times New Roman"/>
          <w:color w:val="000000"/>
          <w:sz w:val="32"/>
          <w:szCs w:val="32"/>
        </w:rPr>
        <w:t>授权人员</w:t>
      </w:r>
      <w:r>
        <w:rPr>
          <w:rFonts w:eastAsia="方正仿宋_GBK" w:cs="Times New Roman"/>
          <w:sz w:val="32"/>
          <w:szCs w:val="32"/>
        </w:rPr>
        <w:t>的监管下预冷，并装入冷处理室</w:t>
      </w:r>
      <w:r>
        <w:rPr>
          <w:rFonts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lang w:val="en-US" w:eastAsia="zh-CN"/>
        </w:rPr>
        <w:t>2</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至少用2个温度探针（分别在出风口和回风口）测量室温，</w:t>
      </w:r>
      <w:r>
        <w:rPr>
          <w:rFonts w:ascii="Times New Roman" w:hAnsi="Times New Roman" w:eastAsia="方正仿宋_GBK" w:cs="Times New Roman"/>
          <w:sz w:val="32"/>
          <w:szCs w:val="32"/>
        </w:rPr>
        <w:t>至少要安插以下4个探针测量鲜果的温度</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一个位于冷库中部所装货物的中心；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一个位于冷库中部所装货物顶层的边角；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一个位于所装货物中部近回风口处；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一个位于所装货物顶层的边角近回风口处。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3</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探针的安插和与记录仪的连接须在</w:t>
      </w:r>
      <w:r>
        <w:rPr>
          <w:rFonts w:ascii="Times New Roman" w:hAnsi="Times New Roman" w:eastAsia="方正仿宋_GBK" w:cs="Times New Roman"/>
          <w:sz w:val="32"/>
          <w:szCs w:val="32"/>
        </w:rPr>
        <w:t>伊方或其</w:t>
      </w:r>
      <w:r>
        <w:rPr>
          <w:rFonts w:ascii="Times New Roman" w:hAnsi="Times New Roman" w:eastAsia="方正仿宋_GBK" w:cs="Times New Roman"/>
          <w:color w:val="000000"/>
          <w:sz w:val="32"/>
          <w:szCs w:val="32"/>
        </w:rPr>
        <w:t>授权人员的监管和指导下完成。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4</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可以在任何时间启动记录仪记录，然而只有所有的果温探针都达到指定的温度时才能开始计算处理时间。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5</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当只用最小数量的探针时，如果有任何探针连续超出4小时失效，则该处理无效，必须重新开始。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rPr>
      </w:pPr>
      <w:r>
        <w:rPr>
          <w:rFonts w:hint="eastAsia" w:ascii="Times New Roman" w:hAnsi="Times New Roman" w:eastAsia="方正黑体_GBK" w:cs="方正黑体_GBK"/>
          <w:b w:val="0"/>
          <w:bCs w:val="0"/>
          <w:color w:val="000000"/>
          <w:sz w:val="32"/>
          <w:szCs w:val="32"/>
          <w:lang w:val="en-US" w:eastAsia="zh-CN"/>
        </w:rPr>
        <w:t>五、</w:t>
      </w:r>
      <w:r>
        <w:rPr>
          <w:rFonts w:hint="eastAsia" w:ascii="Times New Roman" w:hAnsi="Times New Roman" w:eastAsia="方正黑体_GBK" w:cs="方正黑体_GBK"/>
          <w:b w:val="0"/>
          <w:bCs w:val="0"/>
          <w:color w:val="000000"/>
          <w:sz w:val="32"/>
          <w:szCs w:val="32"/>
        </w:rPr>
        <w:t>处理结果的逐步审核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1</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如果处理记录表明各处理参数已符合要求，</w:t>
      </w:r>
      <w:r>
        <w:rPr>
          <w:rFonts w:ascii="Times New Roman" w:hAnsi="Times New Roman" w:eastAsia="方正仿宋_GBK" w:cs="Times New Roman"/>
          <w:sz w:val="32"/>
          <w:szCs w:val="32"/>
        </w:rPr>
        <w:t>伊方</w:t>
      </w:r>
      <w:r>
        <w:rPr>
          <w:rFonts w:ascii="Times New Roman" w:hAnsi="Times New Roman" w:eastAsia="方正仿宋_GBK" w:cs="Times New Roman"/>
          <w:color w:val="000000"/>
          <w:sz w:val="32"/>
          <w:szCs w:val="32"/>
        </w:rPr>
        <w:t>可以授权结束处理。如果探针也按第三条的规定通过了校正，则可认定为该处理已成功完成。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2</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在水果从处理室中移出之前，应对探针进行校正。</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仿宋_GBK" w:cs="Times New Roman"/>
          <w:b/>
          <w:bCs/>
          <w:color w:val="000000"/>
          <w:sz w:val="32"/>
          <w:szCs w:val="32"/>
        </w:rPr>
      </w:pPr>
      <w:r>
        <w:rPr>
          <w:rFonts w:hint="eastAsia" w:eastAsia="方正黑体_GBK" w:cs="方正黑体_GBK"/>
          <w:b w:val="0"/>
          <w:bCs w:val="0"/>
          <w:color w:val="000000"/>
          <w:kern w:val="2"/>
          <w:sz w:val="32"/>
          <w:szCs w:val="32"/>
          <w:lang w:val="en-US" w:eastAsia="zh-CN" w:bidi="ar-SA"/>
        </w:rPr>
        <w:t>六、</w:t>
      </w:r>
      <w:r>
        <w:rPr>
          <w:rFonts w:eastAsia="方正黑体_GBK" w:cs="方正黑体_GBK"/>
          <w:b w:val="0"/>
          <w:bCs w:val="0"/>
          <w:color w:val="000000"/>
          <w:kern w:val="2"/>
          <w:sz w:val="32"/>
          <w:szCs w:val="32"/>
          <w:lang w:val="en-US" w:eastAsia="zh-CN" w:bidi="ar-SA"/>
        </w:rPr>
        <w:t>处理结果的确认</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hint="eastAsia" w:eastAsia="方正仿宋_GBK" w:cs="Times New Roman"/>
          <w:color w:val="000000"/>
          <w:kern w:val="0"/>
          <w:sz w:val="32"/>
          <w:szCs w:val="32"/>
          <w:lang w:val="en-US" w:eastAsia="zh-CN"/>
        </w:rPr>
        <w:t>1</w:t>
      </w:r>
      <w:r>
        <w:rPr>
          <w:rFonts w:eastAsia="方正仿宋_GBK" w:cs="Times New Roman"/>
          <w:color w:val="000000"/>
          <w:kern w:val="0"/>
          <w:sz w:val="32"/>
          <w:szCs w:val="32"/>
        </w:rPr>
        <w:t>．</w:t>
      </w:r>
      <w:r>
        <w:rPr>
          <w:rFonts w:eastAsia="方正仿宋_GBK" w:cs="Times New Roman"/>
          <w:color w:val="000000"/>
          <w:sz w:val="32"/>
          <w:szCs w:val="32"/>
        </w:rPr>
        <w:t>打印输出的温度记录能表明要求的冷处理已完成。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2</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sz w:val="32"/>
          <w:szCs w:val="32"/>
        </w:rPr>
        <w:t>伊方</w:t>
      </w:r>
      <w:r>
        <w:rPr>
          <w:rFonts w:ascii="Times New Roman" w:hAnsi="Times New Roman" w:eastAsia="方正仿宋_GBK" w:cs="Times New Roman"/>
          <w:color w:val="000000"/>
          <w:sz w:val="32"/>
          <w:szCs w:val="32"/>
        </w:rPr>
        <w:t>或</w:t>
      </w:r>
      <w:r>
        <w:rPr>
          <w:rFonts w:ascii="Times New Roman" w:hAnsi="Times New Roman" w:eastAsia="方正仿宋_GBK" w:cs="Times New Roman"/>
          <w:sz w:val="32"/>
          <w:szCs w:val="32"/>
        </w:rPr>
        <w:t>其</w:t>
      </w:r>
      <w:r>
        <w:rPr>
          <w:rFonts w:ascii="Times New Roman" w:hAnsi="Times New Roman" w:eastAsia="方正仿宋_GBK" w:cs="Times New Roman"/>
          <w:color w:val="000000"/>
          <w:sz w:val="32"/>
          <w:szCs w:val="32"/>
        </w:rPr>
        <w:t>授权人员必须在确认处理成功之前保存上述记录和统计值。应中方要求，提供上述记录以供审核。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kern w:val="0"/>
          <w:sz w:val="32"/>
          <w:szCs w:val="32"/>
          <w:lang w:val="en-US" w:eastAsia="zh-CN"/>
        </w:rPr>
        <w:t>3</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如果处理未能达到所需的冷处理要求，在符合以下条件之一的，可以重新连接记录仪，并继续处理：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sz w:val="32"/>
          <w:szCs w:val="32"/>
        </w:rPr>
        <w:t>伊方或其授权人员确认本议定书所要求的处理条件仍满足；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color w:val="000000"/>
          <w:sz w:val="32"/>
          <w:szCs w:val="32"/>
        </w:rPr>
        <w:t>停止的时间与重新开始的时间间隔在24小时之内。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上述两种情况下，可从记录仪重新连接时起继续采集数据。</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黑体_GBK" w:cs="方正黑体_GBK"/>
          <w:b w:val="0"/>
          <w:bCs w:val="0"/>
          <w:color w:val="000000"/>
          <w:kern w:val="2"/>
          <w:sz w:val="32"/>
          <w:szCs w:val="32"/>
          <w:lang w:val="en-US" w:eastAsia="zh-CN" w:bidi="ar-SA"/>
        </w:rPr>
      </w:pPr>
      <w:r>
        <w:rPr>
          <w:rFonts w:hint="eastAsia" w:eastAsia="方正黑体_GBK" w:cs="方正黑体_GBK"/>
          <w:b w:val="0"/>
          <w:bCs w:val="0"/>
          <w:color w:val="000000"/>
          <w:kern w:val="2"/>
          <w:sz w:val="32"/>
          <w:szCs w:val="32"/>
          <w:lang w:val="en-US" w:eastAsia="zh-CN" w:bidi="ar-SA"/>
        </w:rPr>
        <w:t>七、</w:t>
      </w:r>
      <w:r>
        <w:rPr>
          <w:rFonts w:eastAsia="方正黑体_GBK" w:cs="方正黑体_GBK"/>
          <w:b w:val="0"/>
          <w:bCs w:val="0"/>
          <w:color w:val="000000"/>
          <w:kern w:val="2"/>
          <w:sz w:val="32"/>
          <w:szCs w:val="32"/>
          <w:lang w:val="en-US" w:eastAsia="zh-CN" w:bidi="ar-SA"/>
        </w:rPr>
        <w:t>装入集装箱</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color w:val="000000"/>
          <w:kern w:val="0"/>
          <w:sz w:val="32"/>
          <w:szCs w:val="32"/>
          <w:lang w:val="en-US" w:eastAsia="zh-CN"/>
        </w:rPr>
        <w:t>1</w:t>
      </w:r>
      <w:r>
        <w:rPr>
          <w:rFonts w:eastAsia="方正仿宋_GBK" w:cs="Times New Roman"/>
          <w:color w:val="000000"/>
          <w:kern w:val="0"/>
          <w:sz w:val="32"/>
          <w:szCs w:val="32"/>
        </w:rPr>
        <w:t>．</w:t>
      </w:r>
      <w:r>
        <w:rPr>
          <w:rFonts w:eastAsia="方正仿宋_GBK" w:cs="Times New Roman"/>
          <w:color w:val="000000"/>
          <w:sz w:val="32"/>
          <w:szCs w:val="32"/>
        </w:rPr>
        <w:t>装货前集装箱必须经</w:t>
      </w:r>
      <w:r>
        <w:rPr>
          <w:rFonts w:eastAsia="方正仿宋_GBK" w:cs="Times New Roman"/>
          <w:sz w:val="32"/>
          <w:szCs w:val="32"/>
        </w:rPr>
        <w:t>伊方</w:t>
      </w:r>
      <w:r>
        <w:rPr>
          <w:rFonts w:eastAsia="方正仿宋_GBK" w:cs="Times New Roman"/>
          <w:color w:val="000000"/>
          <w:sz w:val="32"/>
          <w:szCs w:val="32"/>
        </w:rPr>
        <w:t>或</w:t>
      </w:r>
      <w:r>
        <w:rPr>
          <w:rFonts w:eastAsia="方正仿宋_GBK" w:cs="Times New Roman"/>
          <w:sz w:val="32"/>
          <w:szCs w:val="32"/>
        </w:rPr>
        <w:t>其</w:t>
      </w:r>
      <w:r>
        <w:rPr>
          <w:rFonts w:eastAsia="方正仿宋_GBK" w:cs="Times New Roman"/>
          <w:color w:val="000000"/>
          <w:sz w:val="32"/>
          <w:szCs w:val="32"/>
        </w:rPr>
        <w:t>授权人员查验，以确保不带有害生物，并在入口处加以遮挡以防有害生物进入。</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hint="eastAsia" w:eastAsia="方正仿宋_GBK" w:cs="Times New Roman"/>
          <w:color w:val="000000"/>
          <w:kern w:val="0"/>
          <w:sz w:val="32"/>
          <w:szCs w:val="32"/>
          <w:lang w:val="en-US" w:eastAsia="zh-CN"/>
        </w:rPr>
        <w:t>2</w:t>
      </w:r>
      <w:r>
        <w:rPr>
          <w:rFonts w:eastAsia="方正仿宋_GBK" w:cs="Times New Roman"/>
          <w:color w:val="000000"/>
          <w:kern w:val="0"/>
          <w:sz w:val="32"/>
          <w:szCs w:val="32"/>
        </w:rPr>
        <w:t>．</w:t>
      </w:r>
      <w:r>
        <w:rPr>
          <w:rFonts w:eastAsia="方正仿宋_GBK" w:cs="Times New Roman"/>
          <w:color w:val="000000"/>
          <w:sz w:val="32"/>
          <w:szCs w:val="32"/>
        </w:rPr>
        <w:t>苹果需要在防虫的建筑物内装箱，或在冷藏室入口和箱体间用防虫材料围住。</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hint="eastAsia" w:eastAsia="方正黑体_GBK" w:cs="方正黑体_GBK"/>
          <w:b w:val="0"/>
          <w:bCs w:val="0"/>
          <w:color w:val="000000"/>
          <w:kern w:val="2"/>
          <w:sz w:val="32"/>
          <w:szCs w:val="32"/>
        </w:rPr>
      </w:pPr>
      <w:r>
        <w:rPr>
          <w:rFonts w:hint="eastAsia" w:eastAsia="方正黑体_GBK" w:cs="方正黑体_GBK"/>
          <w:b w:val="0"/>
          <w:bCs w:val="0"/>
          <w:color w:val="000000"/>
          <w:sz w:val="32"/>
          <w:szCs w:val="32"/>
          <w:lang w:val="en-US" w:eastAsia="zh-CN"/>
        </w:rPr>
        <w:t>八、</w:t>
      </w:r>
      <w:r>
        <w:rPr>
          <w:rFonts w:hint="eastAsia" w:eastAsia="方正黑体_GBK" w:cs="方正黑体_GBK"/>
          <w:b w:val="0"/>
          <w:bCs w:val="0"/>
          <w:color w:val="000000"/>
          <w:sz w:val="32"/>
          <w:szCs w:val="32"/>
        </w:rPr>
        <w:t>集装箱的封识</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color w:val="000000"/>
          <w:kern w:val="0"/>
          <w:sz w:val="32"/>
          <w:szCs w:val="32"/>
          <w:lang w:val="en-US" w:eastAsia="zh-CN"/>
        </w:rPr>
        <w:t>1</w:t>
      </w:r>
      <w:r>
        <w:rPr>
          <w:rFonts w:eastAsia="方正仿宋_GBK" w:cs="Times New Roman"/>
          <w:color w:val="000000"/>
          <w:kern w:val="0"/>
          <w:sz w:val="32"/>
          <w:szCs w:val="32"/>
        </w:rPr>
        <w:t>．</w:t>
      </w:r>
      <w:r>
        <w:rPr>
          <w:rFonts w:eastAsia="方正仿宋_GBK" w:cs="Times New Roman"/>
          <w:color w:val="000000"/>
          <w:sz w:val="32"/>
          <w:szCs w:val="32"/>
        </w:rPr>
        <w:t>由</w:t>
      </w:r>
      <w:r>
        <w:rPr>
          <w:rFonts w:eastAsia="方正仿宋_GBK" w:cs="Times New Roman"/>
          <w:sz w:val="32"/>
          <w:szCs w:val="32"/>
        </w:rPr>
        <w:t>伊方</w:t>
      </w:r>
      <w:r>
        <w:rPr>
          <w:rFonts w:eastAsia="方正仿宋_GBK" w:cs="Times New Roman"/>
          <w:color w:val="000000"/>
          <w:sz w:val="32"/>
          <w:szCs w:val="32"/>
        </w:rPr>
        <w:t>或</w:t>
      </w:r>
      <w:r>
        <w:rPr>
          <w:rFonts w:eastAsia="方正仿宋_GBK" w:cs="Times New Roman"/>
          <w:sz w:val="32"/>
          <w:szCs w:val="32"/>
        </w:rPr>
        <w:t>其</w:t>
      </w:r>
      <w:r>
        <w:rPr>
          <w:rFonts w:eastAsia="方正仿宋_GBK" w:cs="Times New Roman"/>
          <w:color w:val="000000"/>
          <w:sz w:val="32"/>
          <w:szCs w:val="32"/>
        </w:rPr>
        <w:t>授权人员用有编码的封识将装上货物的集装箱封识，封识号码需在植物检疫证书上注明。</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hint="eastAsia" w:eastAsia="方正仿宋_GBK" w:cs="Times New Roman"/>
          <w:color w:val="000000"/>
          <w:kern w:val="0"/>
          <w:sz w:val="32"/>
          <w:szCs w:val="32"/>
          <w:lang w:val="en-US" w:eastAsia="zh-CN"/>
        </w:rPr>
        <w:t>2</w:t>
      </w:r>
      <w:r>
        <w:rPr>
          <w:rFonts w:eastAsia="方正仿宋_GBK" w:cs="Times New Roman"/>
          <w:color w:val="000000"/>
          <w:kern w:val="0"/>
          <w:sz w:val="32"/>
          <w:szCs w:val="32"/>
        </w:rPr>
        <w:t>．</w:t>
      </w:r>
      <w:r>
        <w:rPr>
          <w:rFonts w:eastAsia="方正仿宋_GBK" w:cs="Times New Roman"/>
          <w:color w:val="000000"/>
          <w:sz w:val="32"/>
          <w:szCs w:val="32"/>
        </w:rPr>
        <w:t>封识只能在中国进境口岸由海关人员开启。</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黑体_GBK" w:cs="方正黑体_GBK"/>
          <w:b w:val="0"/>
          <w:bCs w:val="0"/>
          <w:color w:val="000000"/>
          <w:sz w:val="32"/>
          <w:szCs w:val="32"/>
          <w:lang w:val="en-US" w:eastAsia="zh-CN"/>
        </w:rPr>
      </w:pPr>
      <w:r>
        <w:rPr>
          <w:rFonts w:hint="eastAsia" w:eastAsia="方正黑体_GBK" w:cs="方正黑体_GBK"/>
          <w:b w:val="0"/>
          <w:bCs w:val="0"/>
          <w:color w:val="000000"/>
          <w:sz w:val="32"/>
          <w:szCs w:val="32"/>
          <w:lang w:val="en-US" w:eastAsia="zh-CN"/>
        </w:rPr>
        <w:t>九、</w:t>
      </w:r>
      <w:r>
        <w:rPr>
          <w:rFonts w:eastAsia="方正黑体_GBK" w:cs="方正黑体_GBK"/>
          <w:b w:val="0"/>
          <w:bCs w:val="0"/>
          <w:color w:val="000000"/>
          <w:sz w:val="32"/>
          <w:szCs w:val="32"/>
          <w:lang w:val="en-US" w:eastAsia="zh-CN"/>
        </w:rPr>
        <w:t>未立即装箱的水果的贮存</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eastAsia="方正仿宋_GBK" w:cs="Times New Roman"/>
          <w:color w:val="000000"/>
          <w:sz w:val="32"/>
          <w:szCs w:val="32"/>
        </w:rPr>
        <w:t>处理过的水果未立即装箱可以储藏，但需由</w:t>
      </w:r>
      <w:r>
        <w:rPr>
          <w:rFonts w:eastAsia="方正仿宋_GBK" w:cs="Times New Roman"/>
          <w:sz w:val="32"/>
          <w:szCs w:val="32"/>
        </w:rPr>
        <w:t>伊方</w:t>
      </w:r>
      <w:r>
        <w:rPr>
          <w:rFonts w:eastAsia="方正仿宋_GBK" w:cs="Times New Roman"/>
          <w:color w:val="000000"/>
          <w:sz w:val="32"/>
          <w:szCs w:val="32"/>
        </w:rPr>
        <w:t>或</w:t>
      </w:r>
      <w:r>
        <w:rPr>
          <w:rFonts w:eastAsia="方正仿宋_GBK" w:cs="Times New Roman"/>
          <w:sz w:val="32"/>
          <w:szCs w:val="32"/>
        </w:rPr>
        <w:t>其</w:t>
      </w:r>
      <w:r>
        <w:rPr>
          <w:rFonts w:eastAsia="方正仿宋_GBK" w:cs="Times New Roman"/>
          <w:color w:val="000000"/>
          <w:sz w:val="32"/>
          <w:szCs w:val="32"/>
        </w:rPr>
        <w:t>授权人员维持安全状况：</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sz w:val="32"/>
          <w:szCs w:val="32"/>
        </w:rPr>
      </w:pPr>
      <w:r>
        <w:rPr>
          <w:rFonts w:hint="eastAsia" w:eastAsia="方正仿宋_GBK" w:cs="Times New Roman"/>
          <w:color w:val="000000"/>
          <w:kern w:val="0"/>
          <w:sz w:val="32"/>
          <w:szCs w:val="32"/>
          <w:lang w:val="en-US" w:eastAsia="zh-CN"/>
        </w:rPr>
        <w:t>1</w:t>
      </w:r>
      <w:r>
        <w:rPr>
          <w:rFonts w:eastAsia="方正仿宋_GBK" w:cs="Times New Roman"/>
          <w:color w:val="000000"/>
          <w:kern w:val="0"/>
          <w:sz w:val="32"/>
          <w:szCs w:val="32"/>
        </w:rPr>
        <w:t>．</w:t>
      </w:r>
      <w:r>
        <w:rPr>
          <w:rFonts w:eastAsia="方正仿宋_GBK" w:cs="Times New Roman"/>
          <w:color w:val="000000"/>
          <w:sz w:val="32"/>
          <w:szCs w:val="32"/>
        </w:rPr>
        <w:t>如果水果储存在处理室内，则处理室的门必须封闭；</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color w:val="000000"/>
          <w:kern w:val="0"/>
          <w:sz w:val="32"/>
          <w:szCs w:val="32"/>
          <w:lang w:val="en-US" w:eastAsia="zh-CN"/>
        </w:rPr>
        <w:t>2</w:t>
      </w:r>
      <w:r>
        <w:rPr>
          <w:rFonts w:eastAsia="方正仿宋_GBK" w:cs="Times New Roman"/>
          <w:color w:val="000000"/>
          <w:kern w:val="0"/>
          <w:sz w:val="32"/>
          <w:szCs w:val="32"/>
        </w:rPr>
        <w:t>．</w:t>
      </w:r>
      <w:r>
        <w:rPr>
          <w:rFonts w:eastAsia="方正仿宋_GBK" w:cs="Times New Roman"/>
          <w:color w:val="000000"/>
          <w:sz w:val="32"/>
          <w:szCs w:val="32"/>
        </w:rPr>
        <w:t>如果要求将水果转移到另一储藏室内储存，则必须通过经</w:t>
      </w:r>
      <w:r>
        <w:rPr>
          <w:rFonts w:eastAsia="方正仿宋_GBK" w:cs="Times New Roman"/>
          <w:sz w:val="32"/>
          <w:szCs w:val="32"/>
        </w:rPr>
        <w:t>伊方</w:t>
      </w:r>
      <w:r>
        <w:rPr>
          <w:rFonts w:eastAsia="方正仿宋_GBK" w:cs="Times New Roman"/>
          <w:color w:val="000000"/>
          <w:sz w:val="32"/>
          <w:szCs w:val="32"/>
        </w:rPr>
        <w:t>批准的可靠方式转移，且另一储藏室内不得有其他水果；</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color w:val="000000"/>
          <w:kern w:val="0"/>
          <w:sz w:val="32"/>
          <w:szCs w:val="32"/>
          <w:lang w:val="en-US" w:eastAsia="zh-CN"/>
        </w:rPr>
        <w:t>3</w:t>
      </w:r>
      <w:r>
        <w:rPr>
          <w:rFonts w:eastAsia="方正仿宋_GBK" w:cs="Times New Roman"/>
          <w:color w:val="000000"/>
          <w:kern w:val="0"/>
          <w:sz w:val="32"/>
          <w:szCs w:val="32"/>
        </w:rPr>
        <w:t>．</w:t>
      </w:r>
      <w:r>
        <w:rPr>
          <w:rFonts w:eastAsia="方正仿宋_GBK" w:cs="Times New Roman"/>
          <w:sz w:val="32"/>
          <w:szCs w:val="32"/>
        </w:rPr>
        <w:t>随后的装箱必须按照第</w:t>
      </w:r>
      <w:r>
        <w:rPr>
          <w:rFonts w:hint="eastAsia" w:eastAsia="方正仿宋_GBK" w:cs="Times New Roman"/>
          <w:sz w:val="32"/>
          <w:szCs w:val="32"/>
          <w:lang w:val="en-US" w:eastAsia="zh-CN"/>
        </w:rPr>
        <w:t>七条</w:t>
      </w:r>
      <w:r>
        <w:rPr>
          <w:rFonts w:eastAsia="方正仿宋_GBK" w:cs="Times New Roman"/>
          <w:sz w:val="32"/>
          <w:szCs w:val="32"/>
        </w:rPr>
        <w:t>的规定在伊方或其授权人员的监管下进行。</w:t>
      </w:r>
    </w:p>
    <w:p>
      <w:pPr>
        <w:pStyle w:val="12"/>
        <w:keepNext w:val="0"/>
        <w:keepLines w:val="0"/>
        <w:pageBreakBefore w:val="0"/>
        <w:widowControl w:val="0"/>
        <w:tabs>
          <w:tab w:val="left" w:pos="0"/>
        </w:tabs>
        <w:kinsoku/>
        <w:wordWrap/>
        <w:overflowPunct/>
        <w:topLinePunct w:val="0"/>
        <w:autoSpaceDE/>
        <w:autoSpaceDN/>
        <w:bidi w:val="0"/>
        <w:adjustRightInd w:val="0"/>
        <w:snapToGrid w:val="0"/>
        <w:spacing w:before="0" w:line="560" w:lineRule="exact"/>
        <w:ind w:left="0" w:firstLine="640" w:firstLineChars="200"/>
        <w:jc w:val="both"/>
        <w:textAlignment w:val="auto"/>
        <w:rPr>
          <w:rFonts w:eastAsia="方正黑体_GBK" w:cs="方正黑体_GBK"/>
          <w:b w:val="0"/>
          <w:bCs w:val="0"/>
          <w:color w:val="000000"/>
          <w:sz w:val="32"/>
          <w:szCs w:val="32"/>
          <w:lang w:val="en-US" w:eastAsia="zh-CN"/>
        </w:rPr>
      </w:pPr>
      <w:r>
        <w:rPr>
          <w:rFonts w:hint="eastAsia" w:eastAsia="方正黑体_GBK" w:cs="方正黑体_GBK"/>
          <w:b w:val="0"/>
          <w:bCs w:val="0"/>
          <w:color w:val="000000"/>
          <w:sz w:val="32"/>
          <w:szCs w:val="32"/>
          <w:lang w:val="en-US" w:eastAsia="zh-CN"/>
        </w:rPr>
        <w:t>十、</w:t>
      </w:r>
      <w:r>
        <w:rPr>
          <w:rFonts w:eastAsia="方正黑体_GBK" w:cs="方正黑体_GBK"/>
          <w:b w:val="0"/>
          <w:bCs w:val="0"/>
          <w:color w:val="000000"/>
          <w:sz w:val="32"/>
          <w:szCs w:val="32"/>
          <w:lang w:val="en-US" w:eastAsia="zh-CN"/>
        </w:rPr>
        <w:t>植物检疫证书</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both"/>
        <w:textAlignment w:val="auto"/>
        <w:rPr>
          <w:rFonts w:eastAsia="方正仿宋_GBK" w:cs="Times New Roman"/>
          <w:color w:val="000000"/>
          <w:kern w:val="2"/>
          <w:sz w:val="32"/>
          <w:szCs w:val="32"/>
        </w:rPr>
      </w:pPr>
      <w:r>
        <w:rPr>
          <w:rFonts w:hint="eastAsia" w:eastAsia="方正仿宋_GBK" w:cs="Times New Roman"/>
          <w:color w:val="000000"/>
          <w:kern w:val="0"/>
          <w:sz w:val="32"/>
          <w:szCs w:val="32"/>
          <w:lang w:val="en-US" w:eastAsia="zh-CN"/>
        </w:rPr>
        <w:t>1</w:t>
      </w:r>
      <w:r>
        <w:rPr>
          <w:rFonts w:eastAsia="方正仿宋_GBK" w:cs="Times New Roman"/>
          <w:color w:val="000000"/>
          <w:kern w:val="0"/>
          <w:sz w:val="32"/>
          <w:szCs w:val="32"/>
        </w:rPr>
        <w:t>．</w:t>
      </w:r>
      <w:r>
        <w:rPr>
          <w:rFonts w:eastAsia="方正仿宋_GBK" w:cs="Times New Roman"/>
          <w:color w:val="000000"/>
          <w:sz w:val="32"/>
          <w:szCs w:val="32"/>
        </w:rPr>
        <w:t>出口前冷处理的温度和持续时间必须在植物检疫证书的处理栏内注明，并且同时标注处理设施和冷库的名称或编号。</w:t>
      </w:r>
    </w:p>
    <w:p>
      <w:pPr>
        <w:pStyle w:val="12"/>
        <w:keepNext w:val="0"/>
        <w:keepLines w:val="0"/>
        <w:pageBreakBefore w:val="0"/>
        <w:widowControl w:val="0"/>
        <w:kinsoku/>
        <w:wordWrap/>
        <w:overflowPunct/>
        <w:topLinePunct w:val="0"/>
        <w:autoSpaceDE/>
        <w:autoSpaceDN/>
        <w:adjustRightInd w:val="0"/>
        <w:snapToGrid w:val="0"/>
        <w:spacing w:before="0" w:line="560" w:lineRule="exact"/>
        <w:ind w:firstLine="640" w:firstLineChars="200"/>
        <w:jc w:val="both"/>
        <w:rPr>
          <w:rFonts w:ascii="Times New Roman" w:hAnsi="Times New Roman" w:cs="Times New Roman"/>
        </w:rPr>
      </w:pPr>
      <w:r>
        <w:rPr>
          <w:rFonts w:hint="eastAsia" w:eastAsia="方正仿宋_GBK" w:cs="Times New Roman"/>
          <w:color w:val="000000"/>
          <w:kern w:val="0"/>
          <w:sz w:val="32"/>
          <w:szCs w:val="32"/>
          <w:lang w:val="en-US" w:eastAsia="zh-CN"/>
        </w:rPr>
        <w:t>2</w:t>
      </w:r>
      <w:r>
        <w:rPr>
          <w:rFonts w:eastAsia="方正仿宋_GBK" w:cs="Times New Roman"/>
          <w:color w:val="000000"/>
          <w:kern w:val="0"/>
          <w:sz w:val="32"/>
          <w:szCs w:val="32"/>
        </w:rPr>
        <w:t>．</w:t>
      </w:r>
      <w:r>
        <w:rPr>
          <w:rFonts w:eastAsia="方正仿宋_GBK" w:cs="Times New Roman"/>
          <w:color w:val="000000"/>
          <w:sz w:val="32"/>
          <w:szCs w:val="32"/>
        </w:rPr>
        <w:t>水果进境时，需提供植物检疫证书、</w:t>
      </w:r>
      <w:r>
        <w:rPr>
          <w:rFonts w:eastAsia="方正仿宋_GBK" w:cs="Times New Roman"/>
          <w:sz w:val="32"/>
          <w:szCs w:val="32"/>
        </w:rPr>
        <w:t>冷处理结果报告单以及果温探针校准记录</w:t>
      </w:r>
      <w:r>
        <w:rPr>
          <w:rFonts w:eastAsia="方正仿宋_GBK" w:cs="Times New Roman"/>
          <w:color w:val="000000"/>
          <w:sz w:val="32"/>
          <w:szCs w:val="32"/>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78A07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10">
    <w:name w:val="List Paragraph1"/>
    <w:basedOn w:val="1"/>
    <w:qFormat/>
    <w:uiPriority w:val="0"/>
    <w:pPr>
      <w:widowControl/>
      <w:spacing w:after="160" w:line="259" w:lineRule="auto"/>
      <w:ind w:left="720"/>
      <w:contextualSpacing/>
      <w:jc w:val="left"/>
    </w:pPr>
    <w:rPr>
      <w:kern w:val="0"/>
      <w:sz w:val="22"/>
    </w:rPr>
  </w:style>
  <w:style w:type="paragraph" w:customStyle="1" w:styleId="11">
    <w:name w:val="样式 8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QIS Text"/>
    <w:basedOn w:val="1"/>
    <w:qFormat/>
    <w:uiPriority w:val="0"/>
    <w:pPr>
      <w:widowControl/>
      <w:spacing w:before="160" w:line="280" w:lineRule="atLeast"/>
      <w:jc w:val="left"/>
    </w:pPr>
    <w:rPr>
      <w:rFonts w:ascii="Times New Roman" w:hAnsi="Times New Roman" w:cs="Times New Roman"/>
      <w:kern w:val="0"/>
      <w:sz w:val="24"/>
      <w:szCs w:val="20"/>
      <w:lang w:val="en-AU"/>
    </w:rPr>
  </w:style>
  <w:style w:type="paragraph" w:customStyle="1" w:styleId="13">
    <w:name w:val="样式 10 磅"/>
    <w:qFormat/>
    <w:uiPriority w:val="0"/>
    <w:pPr>
      <w:widowControl w:val="0"/>
      <w:jc w:val="both"/>
    </w:pPr>
    <w:rPr>
      <w:rFonts w:ascii="Calibri" w:hAnsi="Calibri" w:eastAsia="宋体" w:cs="Arial"/>
      <w:kern w:val="2"/>
      <w:sz w:val="21"/>
      <w:szCs w:val="22"/>
      <w:lang w:val="en-US" w:eastAsia="zh-CN" w:bidi="ar-SA"/>
    </w:rPr>
  </w:style>
  <w:style w:type="paragraph" w:customStyle="1" w:styleId="14">
    <w:name w:val="样式 1 10 磅"/>
    <w:qFormat/>
    <w:uiPriority w:val="0"/>
    <w:pPr>
      <w:widowControl w:val="0"/>
      <w:jc w:val="both"/>
    </w:pPr>
    <w:rPr>
      <w:rFonts w:ascii="Calibri" w:hAnsi="Calibri" w:eastAsia="宋体" w:cs="Arial"/>
      <w:kern w:val="2"/>
      <w:sz w:val="21"/>
      <w:szCs w:val="22"/>
      <w:lang w:val="en-US" w:eastAsia="zh-CN" w:bidi="ar-SA"/>
    </w:rPr>
  </w:style>
  <w:style w:type="paragraph" w:customStyle="1" w:styleId="15">
    <w:name w:val="样式 2 10 磅"/>
    <w:qFormat/>
    <w:uiPriority w:val="0"/>
    <w:pPr>
      <w:widowControl w:val="0"/>
      <w:jc w:val="both"/>
    </w:pPr>
    <w:rPr>
      <w:rFonts w:ascii="Calibri" w:hAnsi="Calibri" w:eastAsia="宋体" w:cs="Arial"/>
      <w:kern w:val="2"/>
      <w:sz w:val="21"/>
      <w:szCs w:val="22"/>
      <w:lang w:val="en-US" w:eastAsia="zh-CN" w:bidi="ar-SA"/>
    </w:rPr>
  </w:style>
  <w:style w:type="paragraph" w:customStyle="1" w:styleId="16">
    <w:name w:val="样式 3 10 磅"/>
    <w:qFormat/>
    <w:uiPriority w:val="0"/>
    <w:pPr>
      <w:widowControl w:val="0"/>
      <w:jc w:val="both"/>
    </w:pPr>
    <w:rPr>
      <w:rFonts w:ascii="Calibri" w:hAnsi="Calibri" w:eastAsia="宋体" w:cs="Arial"/>
      <w:kern w:val="2"/>
      <w:sz w:val="21"/>
      <w:szCs w:val="22"/>
      <w:lang w:val="en-US" w:eastAsia="zh-CN" w:bidi="ar-SA"/>
    </w:rPr>
  </w:style>
  <w:style w:type="paragraph" w:customStyle="1" w:styleId="17">
    <w:name w:val="样式 4 10 磅"/>
    <w:qFormat/>
    <w:uiPriority w:val="0"/>
    <w:pPr>
      <w:widowControl w:val="0"/>
      <w:jc w:val="both"/>
    </w:pPr>
    <w:rPr>
      <w:rFonts w:ascii="Calibri" w:hAnsi="Calibri" w:eastAsia="宋体" w:cs="Arial"/>
      <w:kern w:val="2"/>
      <w:sz w:val="21"/>
      <w:szCs w:val="22"/>
      <w:lang w:val="en-US" w:eastAsia="zh-CN" w:bidi="ar-SA"/>
    </w:rPr>
  </w:style>
  <w:style w:type="paragraph" w:customStyle="1" w:styleId="18">
    <w:name w:val="样式 5 10 磅"/>
    <w:qFormat/>
    <w:uiPriority w:val="0"/>
    <w:pPr>
      <w:widowControl w:val="0"/>
      <w:jc w:val="both"/>
    </w:pPr>
    <w:rPr>
      <w:rFonts w:ascii="Calibri" w:hAnsi="Calibri" w:eastAsia="宋体" w:cs="Arial"/>
      <w:kern w:val="2"/>
      <w:sz w:val="21"/>
      <w:szCs w:val="22"/>
      <w:lang w:val="en-US" w:eastAsia="zh-CN" w:bidi="ar-SA"/>
    </w:rPr>
  </w:style>
  <w:style w:type="paragraph" w:customStyle="1" w:styleId="19">
    <w:name w:val="样式 6 10 磅"/>
    <w:qFormat/>
    <w:uiPriority w:val="0"/>
    <w:pPr>
      <w:widowControl w:val="0"/>
      <w:jc w:val="both"/>
    </w:pPr>
    <w:rPr>
      <w:rFonts w:ascii="Calibri" w:hAnsi="Calibri" w:eastAsia="宋体" w:cs="Arial"/>
      <w:kern w:val="2"/>
      <w:sz w:val="21"/>
      <w:szCs w:val="22"/>
      <w:lang w:val="en-US" w:eastAsia="zh-CN" w:bidi="ar-SA"/>
    </w:rPr>
  </w:style>
  <w:style w:type="paragraph" w:customStyle="1" w:styleId="20">
    <w:name w:val="样式 7 10 磅"/>
    <w:qFormat/>
    <w:uiPriority w:val="0"/>
    <w:pPr>
      <w:widowControl w:val="0"/>
      <w:jc w:val="both"/>
    </w:pPr>
    <w:rPr>
      <w:rFonts w:ascii="Calibri" w:hAnsi="Calibri" w:eastAsia="宋体" w:cs="Arial"/>
      <w:kern w:val="2"/>
      <w:sz w:val="21"/>
      <w:szCs w:val="22"/>
      <w:lang w:val="en-US" w:eastAsia="zh-CN" w:bidi="ar-SA"/>
    </w:rPr>
  </w:style>
  <w:style w:type="paragraph" w:customStyle="1" w:styleId="21">
    <w:name w:val="样式 8 10 磅"/>
    <w:qFormat/>
    <w:uiPriority w:val="0"/>
    <w:pPr>
      <w:widowControl w:val="0"/>
      <w:jc w:val="both"/>
    </w:pPr>
    <w:rPr>
      <w:rFonts w:ascii="Calibri" w:hAnsi="Calibri" w:eastAsia="宋体" w:cs="Arial"/>
      <w:kern w:val="2"/>
      <w:sz w:val="21"/>
      <w:szCs w:val="22"/>
      <w:lang w:val="en-US" w:eastAsia="zh-CN" w:bidi="ar-SA"/>
    </w:rPr>
  </w:style>
  <w:style w:type="paragraph" w:customStyle="1" w:styleId="22">
    <w:name w:val="样式 9 10 磅"/>
    <w:qFormat/>
    <w:uiPriority w:val="0"/>
    <w:pPr>
      <w:widowControl w:val="0"/>
      <w:jc w:val="both"/>
    </w:pPr>
    <w:rPr>
      <w:rFonts w:ascii="Calibri" w:hAnsi="Calibri" w:eastAsia="宋体" w:cs="Arial"/>
      <w:kern w:val="2"/>
      <w:sz w:val="21"/>
      <w:szCs w:val="22"/>
      <w:lang w:val="en-US" w:eastAsia="zh-CN" w:bidi="ar-SA"/>
    </w:rPr>
  </w:style>
  <w:style w:type="paragraph" w:customStyle="1" w:styleId="23">
    <w:name w:val="样式 10 10 磅"/>
    <w:qFormat/>
    <w:uiPriority w:val="0"/>
    <w:pPr>
      <w:widowControl w:val="0"/>
      <w:jc w:val="both"/>
    </w:pPr>
    <w:rPr>
      <w:rFonts w:ascii="Calibri" w:hAnsi="Calibri" w:eastAsia="宋体" w:cs="Arial"/>
      <w:kern w:val="2"/>
      <w:sz w:val="21"/>
      <w:szCs w:val="22"/>
      <w:lang w:val="en-US" w:eastAsia="zh-CN" w:bidi="ar-SA"/>
    </w:rPr>
  </w:style>
  <w:style w:type="paragraph" w:customStyle="1" w:styleId="24">
    <w:name w:val="样式 11 10 磅"/>
    <w:qFormat/>
    <w:uiPriority w:val="0"/>
    <w:pPr>
      <w:widowControl w:val="0"/>
      <w:jc w:val="both"/>
    </w:pPr>
    <w:rPr>
      <w:rFonts w:ascii="Calibri" w:hAnsi="Calibri" w:eastAsia="宋体" w:cs="Arial"/>
      <w:kern w:val="2"/>
      <w:sz w:val="21"/>
      <w:szCs w:val="22"/>
      <w:lang w:val="en-US" w:eastAsia="zh-CN" w:bidi="ar-SA"/>
    </w:rPr>
  </w:style>
  <w:style w:type="paragraph" w:customStyle="1" w:styleId="25">
    <w:name w:val="样式 12 10 磅"/>
    <w:uiPriority w:val="0"/>
    <w:pPr>
      <w:widowControl w:val="0"/>
      <w:jc w:val="both"/>
    </w:pPr>
    <w:rPr>
      <w:rFonts w:ascii="Calibri" w:hAnsi="Calibri" w:eastAsia="宋体" w:cs="Arial"/>
      <w:kern w:val="2"/>
      <w:sz w:val="21"/>
      <w:szCs w:val="22"/>
      <w:lang w:val="en-US" w:eastAsia="zh-CN" w:bidi="ar-SA"/>
    </w:rPr>
  </w:style>
  <w:style w:type="paragraph" w:customStyle="1" w:styleId="26">
    <w:name w:val="样式 13 10 磅"/>
    <w:qFormat/>
    <w:uiPriority w:val="0"/>
    <w:pPr>
      <w:widowControl w:val="0"/>
      <w:jc w:val="both"/>
    </w:pPr>
    <w:rPr>
      <w:rFonts w:ascii="Calibri" w:hAnsi="Calibri" w:eastAsia="宋体" w:cs="Arial"/>
      <w:kern w:val="2"/>
      <w:sz w:val="21"/>
      <w:szCs w:val="22"/>
      <w:lang w:val="en-US" w:eastAsia="zh-CN" w:bidi="ar-SA"/>
    </w:rPr>
  </w:style>
  <w:style w:type="paragraph" w:customStyle="1" w:styleId="27">
    <w:name w:val="样式 14 10 磅"/>
    <w:uiPriority w:val="0"/>
    <w:pPr>
      <w:widowControl w:val="0"/>
      <w:jc w:val="both"/>
    </w:pPr>
    <w:rPr>
      <w:rFonts w:ascii="Calibri" w:hAnsi="Calibri" w:eastAsia="宋体" w:cs="Arial"/>
      <w:kern w:val="2"/>
      <w:sz w:val="21"/>
      <w:szCs w:val="22"/>
      <w:lang w:val="en-US" w:eastAsia="zh-CN" w:bidi="ar-SA"/>
    </w:rPr>
  </w:style>
  <w:style w:type="paragraph" w:customStyle="1" w:styleId="28">
    <w:name w:val="样式 15 10 磅"/>
    <w:qFormat/>
    <w:uiPriority w:val="0"/>
    <w:pPr>
      <w:widowControl w:val="0"/>
      <w:jc w:val="both"/>
    </w:pPr>
    <w:rPr>
      <w:rFonts w:ascii="Calibri" w:hAnsi="Calibri" w:eastAsia="宋体" w:cs="Arial"/>
      <w:kern w:val="2"/>
      <w:sz w:val="21"/>
      <w:szCs w:val="22"/>
      <w:lang w:val="en-US" w:eastAsia="zh-CN" w:bidi="ar-SA"/>
    </w:rPr>
  </w:style>
  <w:style w:type="paragraph" w:customStyle="1" w:styleId="29">
    <w:name w:val="样式 16 10 磅"/>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1629</Words>
  <Characters>1653</Characters>
  <Lines>95</Lines>
  <Paragraphs>57</Paragraphs>
  <TotalTime>50</TotalTime>
  <ScaleCrop>false</ScaleCrop>
  <LinksUpToDate>false</LinksUpToDate>
  <CharactersWithSpaces>1653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2022-11-04T04:25:00Z</dcterms:created>
  <dc:creator>mac</dc:creator>
  <cp:lastModifiedBy>Administrator</cp:lastModifiedBy>
  <dcterms:modified xsi:type="dcterms:W3CDTF">2023-03-21T09:08:18Z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3418EE1E98CE4A26ABE21F198BDB59D0</vt:lpwstr>
  </property>
</Properties>
</file>