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60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436"/>
        <w:gridCol w:w="6453"/>
        <w:gridCol w:w="1146"/>
        <w:gridCol w:w="1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5000" w:type="pct"/>
            <w:gridSpan w:val="4"/>
            <w:tcBorders>
              <w:top w:val="nil"/>
              <w:left w:val="nil"/>
              <w:bottom w:val="single" w:color="auto" w:sz="4" w:space="0"/>
              <w:right w:val="nil"/>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rFonts w:hint="default" w:ascii="仿宋_GB2312" w:hAnsi="微软雅黑" w:eastAsia="仿宋_GB2312" w:cs="仿宋_GB2312"/>
                <w:color w:val="000000"/>
                <w:kern w:val="0"/>
                <w:sz w:val="28"/>
                <w:szCs w:val="28"/>
                <w:lang w:val="en-US" w:eastAsia="zh-CN"/>
              </w:rPr>
            </w:pPr>
            <w:r>
              <w:rPr>
                <w:rFonts w:hint="eastAsia" w:ascii="方正小标宋简体" w:hAnsi="方正小标宋简体" w:eastAsia="方正小标宋简体" w:cs="方正小标宋简体"/>
                <w:color w:val="000000"/>
                <w:kern w:val="0"/>
                <w:sz w:val="32"/>
                <w:szCs w:val="32"/>
                <w:shd w:val="clear" w:color="auto" w:fill="FFFFFF"/>
                <w:lang w:val="en-US" w:eastAsia="zh-CN"/>
              </w:rPr>
              <w:t>项目报价单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702" w:type="pct"/>
            <w:tcBorders>
              <w:top w:val="single" w:color="auto" w:sz="4"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rFonts w:hint="eastAsia" w:ascii="仿宋_GB2312" w:hAnsi="微软雅黑" w:eastAsia="仿宋_GB2312" w:cs="仿宋_GB2312"/>
                <w:color w:val="000000"/>
                <w:kern w:val="0"/>
                <w:sz w:val="28"/>
                <w:szCs w:val="28"/>
                <w:lang w:val="en-US" w:eastAsia="zh-CN"/>
              </w:rPr>
            </w:pPr>
            <w:r>
              <w:rPr>
                <w:rFonts w:hint="eastAsia" w:ascii="仿宋_GB2312" w:hAnsi="微软雅黑" w:eastAsia="仿宋_GB2312" w:cs="仿宋_GB2312"/>
                <w:color w:val="000000"/>
                <w:kern w:val="0"/>
                <w:sz w:val="28"/>
                <w:szCs w:val="28"/>
                <w:lang w:val="en-US" w:eastAsia="zh-CN"/>
              </w:rPr>
              <w:t>项目名称</w:t>
            </w:r>
          </w:p>
        </w:tc>
        <w:tc>
          <w:tcPr>
            <w:tcW w:w="3154" w:type="pct"/>
            <w:tcBorders>
              <w:top w:val="single" w:color="auto" w:sz="4"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rFonts w:hint="eastAsia" w:eastAsia="宋体"/>
                <w:color w:val="000000"/>
                <w:lang w:eastAsia="zh-CN"/>
              </w:rPr>
            </w:pPr>
            <w:r>
              <w:rPr>
                <w:rFonts w:hint="eastAsia" w:ascii="仿宋_GB2312" w:hAnsi="微软雅黑" w:eastAsia="仿宋_GB2312" w:cs="仿宋_GB2312"/>
                <w:color w:val="000000"/>
                <w:kern w:val="0"/>
                <w:sz w:val="28"/>
                <w:szCs w:val="28"/>
                <w:lang w:val="en-US" w:eastAsia="zh-CN"/>
              </w:rPr>
              <w:t>服务内容</w:t>
            </w:r>
          </w:p>
        </w:tc>
        <w:tc>
          <w:tcPr>
            <w:tcW w:w="560" w:type="pct"/>
            <w:tcBorders>
              <w:top w:val="single" w:color="auto" w:sz="4"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rFonts w:hint="eastAsia" w:ascii="仿宋_GB2312" w:hAnsi="微软雅黑" w:eastAsia="仿宋_GB2312" w:cs="仿宋_GB2312"/>
                <w:color w:val="000000"/>
                <w:kern w:val="0"/>
                <w:sz w:val="28"/>
                <w:szCs w:val="28"/>
                <w:lang w:val="en-US" w:eastAsia="zh-CN"/>
              </w:rPr>
            </w:pPr>
            <w:r>
              <w:rPr>
                <w:rFonts w:hint="eastAsia" w:ascii="仿宋_GB2312" w:hAnsi="微软雅黑" w:eastAsia="仿宋_GB2312" w:cs="仿宋_GB2312"/>
                <w:color w:val="000000"/>
                <w:kern w:val="0"/>
                <w:sz w:val="28"/>
                <w:szCs w:val="28"/>
                <w:lang w:val="en-US" w:eastAsia="zh-CN"/>
              </w:rPr>
              <w:t>报价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color w:val="000000"/>
              </w:rPr>
            </w:pPr>
            <w:r>
              <w:rPr>
                <w:rFonts w:hint="eastAsia" w:ascii="仿宋_GB2312" w:hAnsi="微软雅黑" w:eastAsia="仿宋_GB2312" w:cs="仿宋_GB2312"/>
                <w:color w:val="000000"/>
                <w:kern w:val="0"/>
                <w:sz w:val="28"/>
                <w:szCs w:val="28"/>
                <w:lang w:val="en-US" w:eastAsia="zh-CN"/>
              </w:rPr>
              <w:t>金额</w:t>
            </w:r>
          </w:p>
        </w:tc>
        <w:tc>
          <w:tcPr>
            <w:tcW w:w="582" w:type="pct"/>
            <w:tcBorders>
              <w:top w:val="single" w:color="auto" w:sz="4"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rFonts w:hint="eastAsia" w:ascii="仿宋_GB2312" w:hAnsi="微软雅黑" w:eastAsia="仿宋_GB2312" w:cs="仿宋_GB2312"/>
                <w:color w:val="000000"/>
                <w:kern w:val="0"/>
                <w:sz w:val="28"/>
                <w:szCs w:val="28"/>
                <w:lang w:val="en-US" w:eastAsia="zh-CN"/>
              </w:rPr>
            </w:pPr>
            <w:r>
              <w:rPr>
                <w:rFonts w:hint="eastAsia" w:ascii="仿宋_GB2312" w:hAnsi="微软雅黑" w:eastAsia="仿宋_GB2312" w:cs="仿宋_GB2312"/>
                <w:color w:val="000000"/>
                <w:kern w:val="0"/>
                <w:sz w:val="28"/>
                <w:szCs w:val="28"/>
                <w:lang w:val="en-US" w:eastAsia="zh-CN"/>
              </w:rPr>
              <w:t>最高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color w:val="000000"/>
              </w:rPr>
            </w:pPr>
            <w:r>
              <w:rPr>
                <w:rFonts w:hint="eastAsia" w:ascii="仿宋_GB2312" w:hAnsi="微软雅黑" w:eastAsia="仿宋_GB2312" w:cs="仿宋_GB2312"/>
                <w:color w:val="000000"/>
                <w:kern w:val="0"/>
                <w:sz w:val="28"/>
                <w:szCs w:val="28"/>
                <w:lang w:val="en-US" w:eastAsia="zh-CN"/>
              </w:rPr>
              <w:t>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702" w:type="pct"/>
            <w:vMerge w:val="restart"/>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6" w:lineRule="exact"/>
              <w:ind w:left="0" w:right="0"/>
              <w:jc w:val="center"/>
              <w:textAlignment w:val="auto"/>
              <w:rPr>
                <w:rFonts w:hint="eastAsia" w:ascii="仿宋_GB2312" w:hAnsi="微软雅黑" w:eastAsia="仿宋_GB2312" w:cs="仿宋_GB2312"/>
                <w:color w:val="000000"/>
                <w:kern w:val="0"/>
                <w:sz w:val="28"/>
                <w:szCs w:val="28"/>
                <w:lang w:val="en-US" w:eastAsia="zh-CN"/>
              </w:rPr>
            </w:pPr>
            <w:r>
              <w:rPr>
                <w:rFonts w:hint="eastAsia" w:ascii="仿宋_GB2312" w:hAnsi="微软雅黑" w:eastAsia="仿宋_GB2312" w:cs="仿宋_GB2312"/>
                <w:color w:val="000000"/>
                <w:kern w:val="0"/>
                <w:sz w:val="28"/>
                <w:szCs w:val="28"/>
                <w:lang w:val="en-US" w:eastAsia="zh-CN"/>
              </w:rPr>
              <w:t>委托开展口岸数据采集分析运用工作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6" w:lineRule="exact"/>
              <w:ind w:left="0" w:right="0"/>
              <w:jc w:val="center"/>
              <w:textAlignment w:val="auto"/>
              <w:rPr>
                <w:rFonts w:hint="eastAsia" w:ascii="仿宋_GB2312" w:hAnsi="微软雅黑" w:eastAsia="仿宋_GB2312" w:cs="仿宋_GB2312"/>
                <w:color w:val="000000"/>
                <w:kern w:val="0"/>
                <w:sz w:val="28"/>
                <w:szCs w:val="28"/>
                <w:lang w:val="en-US" w:eastAsia="zh-CN"/>
              </w:rPr>
            </w:pPr>
            <w:r>
              <w:rPr>
                <w:rFonts w:hint="eastAsia" w:ascii="仿宋_GB2312" w:hAnsi="微软雅黑" w:eastAsia="仿宋_GB2312" w:cs="仿宋_GB2312"/>
                <w:color w:val="000000"/>
                <w:kern w:val="0"/>
                <w:sz w:val="28"/>
                <w:szCs w:val="28"/>
                <w:lang w:val="en-US" w:eastAsia="zh-CN"/>
              </w:rPr>
              <w:t>（项目服务期间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6" w:lineRule="exact"/>
              <w:ind w:left="0" w:right="0"/>
              <w:jc w:val="center"/>
              <w:textAlignment w:val="auto"/>
              <w:rPr>
                <w:rFonts w:hint="eastAsia" w:ascii="仿宋_GB2312" w:hAnsi="微软雅黑" w:eastAsia="仿宋_GB2312" w:cs="仿宋_GB2312"/>
                <w:color w:val="000000"/>
                <w:kern w:val="0"/>
                <w:sz w:val="28"/>
                <w:szCs w:val="28"/>
                <w:lang w:val="en-US" w:eastAsia="zh-CN"/>
              </w:rPr>
            </w:pPr>
            <w:r>
              <w:rPr>
                <w:rFonts w:hint="eastAsia" w:ascii="仿宋_GB2312" w:hAnsi="微软雅黑" w:eastAsia="仿宋_GB2312" w:cs="仿宋_GB2312"/>
                <w:color w:val="000000"/>
                <w:kern w:val="0"/>
                <w:sz w:val="28"/>
                <w:szCs w:val="28"/>
                <w:lang w:val="en-US" w:eastAsia="zh-CN"/>
              </w:rPr>
              <w:t>为1年）</w:t>
            </w:r>
          </w:p>
        </w:tc>
        <w:tc>
          <w:tcPr>
            <w:tcW w:w="3154" w:type="pct"/>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bidi w:val="0"/>
              <w:adjustRightInd/>
              <w:snapToGrid w:val="0"/>
              <w:spacing w:line="596" w:lineRule="exact"/>
              <w:jc w:val="left"/>
              <w:textAlignment w:val="auto"/>
              <w:rPr>
                <w:rFonts w:ascii="楷体_GB2312" w:hAnsi="楷体_GB2312" w:eastAsia="楷体_GB2312" w:cs="楷体_GB2312"/>
                <w:b/>
                <w:color w:val="auto"/>
                <w:sz w:val="28"/>
                <w:szCs w:val="28"/>
                <w:highlight w:val="none"/>
              </w:rPr>
            </w:pPr>
            <w:r>
              <w:rPr>
                <w:rFonts w:hint="eastAsia" w:ascii="楷体_GB2312" w:hAnsi="楷体_GB2312" w:eastAsia="楷体_GB2312" w:cs="楷体_GB2312"/>
                <w:b/>
                <w:color w:val="auto"/>
                <w:sz w:val="28"/>
                <w:szCs w:val="28"/>
                <w:highlight w:val="none"/>
                <w:lang w:val="en-US" w:eastAsia="zh-CN"/>
              </w:rPr>
              <w:t>1.</w:t>
            </w:r>
            <w:r>
              <w:rPr>
                <w:rFonts w:hint="eastAsia" w:ascii="楷体_GB2312" w:hAnsi="楷体_GB2312" w:eastAsia="楷体_GB2312" w:cs="楷体_GB2312"/>
                <w:b/>
                <w:color w:val="auto"/>
                <w:sz w:val="28"/>
                <w:szCs w:val="28"/>
                <w:highlight w:val="none"/>
              </w:rPr>
              <w:t>开展全省口岸运行数据采集与监测服务</w:t>
            </w:r>
          </w:p>
          <w:p>
            <w:pPr>
              <w:keepNext w:val="0"/>
              <w:keepLines w:val="0"/>
              <w:pageBreakBefore w:val="0"/>
              <w:widowControl w:val="0"/>
              <w:kinsoku/>
              <w:wordWrap/>
              <w:overflowPunct/>
              <w:topLinePunct w:val="0"/>
              <w:autoSpaceDE/>
              <w:bidi w:val="0"/>
              <w:adjustRightInd/>
              <w:snapToGrid w:val="0"/>
              <w:spacing w:line="596" w:lineRule="exact"/>
              <w:jc w:val="left"/>
              <w:textAlignment w:val="auto"/>
              <w:rPr>
                <w:rFonts w:hint="eastAsia" w:ascii="仿宋" w:hAnsi="仿宋" w:eastAsia="仿宋" w:cs="仿宋"/>
                <w:bCs/>
                <w:color w:val="000000"/>
                <w:kern w:val="2"/>
                <w:sz w:val="20"/>
                <w:szCs w:val="20"/>
                <w:lang w:val="en-US" w:eastAsia="zh-CN"/>
              </w:rPr>
            </w:pPr>
            <w:r>
              <w:rPr>
                <w:rFonts w:hint="eastAsia" w:ascii="仿宋_GB2312" w:hAnsi="宋体" w:eastAsia="仿宋_GB2312"/>
                <w:color w:val="auto"/>
                <w:sz w:val="28"/>
                <w:szCs w:val="28"/>
                <w:highlight w:val="none"/>
              </w:rPr>
              <w:t>依托“中国（福建）国际贸易单一窗口”的“口岸统计分析统计端”模块，协助监测全省8个设区市口岸办通过上述系统开展口岸（包含7个水运口岸和4个航空口岸）月度运行数据报送，完成数据催报和数据初审工作，保障数据的及时、准确、完整填报。此外，还需收集7个水运口岸所在设区市口岸办提供的50个重点泊位的进出境客货运量、集装箱量等数据，丰富数据来源，获取第一手准确数据。</w:t>
            </w:r>
          </w:p>
        </w:tc>
        <w:tc>
          <w:tcPr>
            <w:tcW w:w="560" w:type="pct"/>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right="0"/>
              <w:jc w:val="center"/>
              <w:rPr>
                <w:rFonts w:hint="eastAsia" w:ascii="仿宋_GB2312" w:hAnsi="微软雅黑" w:eastAsia="仿宋_GB2312" w:cs="仿宋_GB2312"/>
                <w:color w:val="000000"/>
                <w:kern w:val="0"/>
                <w:sz w:val="28"/>
                <w:szCs w:val="28"/>
                <w:lang w:val="en-US" w:eastAsia="zh-CN"/>
              </w:rPr>
            </w:pPr>
            <w:r>
              <w:rPr>
                <w:rFonts w:hint="eastAsia" w:ascii="仿宋_GB2312" w:hAnsi="微软雅黑" w:eastAsia="仿宋_GB2312" w:cs="仿宋_GB2312"/>
                <w:color w:val="000000"/>
                <w:kern w:val="0"/>
                <w:sz w:val="28"/>
                <w:szCs w:val="28"/>
                <w:lang w:val="en-US" w:eastAsia="zh-CN"/>
              </w:rPr>
              <w:t>万元</w:t>
            </w:r>
          </w:p>
        </w:tc>
        <w:tc>
          <w:tcPr>
            <w:tcW w:w="582" w:type="pct"/>
            <w:vMerge w:val="restart"/>
            <w:noWrap w:val="0"/>
            <w:tcMar>
              <w:top w:w="0" w:type="dxa"/>
              <w:left w:w="108" w:type="dxa"/>
              <w:bottom w:w="0" w:type="dxa"/>
              <w:right w:w="108" w:type="dxa"/>
            </w:tcMar>
            <w:vAlign w:val="center"/>
          </w:tcPr>
          <w:p>
            <w:pPr>
              <w:bidi w:val="0"/>
              <w:jc w:val="center"/>
              <w:rPr>
                <w:rFonts w:hint="default"/>
                <w:color w:val="000000"/>
                <w:lang w:val="en-US" w:eastAsia="zh-CN"/>
              </w:rPr>
            </w:pPr>
            <w:r>
              <w:rPr>
                <w:rFonts w:hint="eastAsia" w:ascii="仿宋_GB2312" w:hAnsi="微软雅黑" w:eastAsia="仿宋_GB2312" w:cs="仿宋_GB2312"/>
                <w:color w:val="000000"/>
                <w:kern w:val="0"/>
                <w:sz w:val="28"/>
                <w:szCs w:val="28"/>
                <w:lang w:val="en-US" w:eastAsia="zh-CN"/>
              </w:rPr>
              <w:t>20万元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702" w:type="pct"/>
            <w:vMerge w:val="continue"/>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exact"/>
              <w:ind w:left="0" w:right="0"/>
              <w:jc w:val="center"/>
              <w:rPr>
                <w:rFonts w:hint="eastAsia" w:ascii="仿宋" w:hAnsi="仿宋" w:eastAsia="仿宋" w:cs="仿宋"/>
                <w:bCs/>
                <w:color w:val="000000"/>
                <w:kern w:val="2"/>
                <w:sz w:val="21"/>
                <w:szCs w:val="21"/>
                <w:lang w:val="en-US" w:eastAsia="zh-CN"/>
              </w:rPr>
            </w:pPr>
          </w:p>
        </w:tc>
        <w:tc>
          <w:tcPr>
            <w:tcW w:w="3154" w:type="pct"/>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bidi w:val="0"/>
              <w:adjustRightInd/>
              <w:spacing w:line="596" w:lineRule="exact"/>
              <w:jc w:val="left"/>
              <w:textAlignment w:val="auto"/>
              <w:rPr>
                <w:rFonts w:ascii="楷体_GB2312" w:hAnsi="楷体_GB2312" w:eastAsia="楷体_GB2312" w:cs="楷体_GB2312"/>
                <w:b/>
                <w:color w:val="auto"/>
                <w:sz w:val="28"/>
                <w:szCs w:val="28"/>
                <w:highlight w:val="none"/>
              </w:rPr>
            </w:pPr>
            <w:r>
              <w:rPr>
                <w:rFonts w:hint="eastAsia" w:ascii="楷体_GB2312" w:hAnsi="楷体_GB2312" w:eastAsia="楷体_GB2312" w:cs="楷体_GB2312"/>
                <w:b/>
                <w:color w:val="auto"/>
                <w:sz w:val="28"/>
                <w:szCs w:val="28"/>
                <w:highlight w:val="none"/>
                <w:lang w:val="en-US" w:eastAsia="zh-CN"/>
              </w:rPr>
              <w:t>2.</w:t>
            </w:r>
            <w:r>
              <w:rPr>
                <w:rFonts w:hint="eastAsia" w:ascii="楷体_GB2312" w:hAnsi="楷体_GB2312" w:eastAsia="楷体_GB2312" w:cs="楷体_GB2312"/>
                <w:b/>
                <w:color w:val="auto"/>
                <w:sz w:val="28"/>
                <w:szCs w:val="28"/>
                <w:highlight w:val="none"/>
              </w:rPr>
              <w:t>提供全省口岸运行数据分析和应用服务</w:t>
            </w:r>
          </w:p>
          <w:p>
            <w:pPr>
              <w:keepNext w:val="0"/>
              <w:keepLines w:val="0"/>
              <w:pageBreakBefore w:val="0"/>
              <w:widowControl w:val="0"/>
              <w:kinsoku/>
              <w:wordWrap/>
              <w:overflowPunct/>
              <w:topLinePunct w:val="0"/>
              <w:autoSpaceDE/>
              <w:bidi w:val="0"/>
              <w:adjustRightInd/>
              <w:spacing w:line="596" w:lineRule="exact"/>
              <w:jc w:val="left"/>
              <w:textAlignment w:val="auto"/>
              <w:rPr>
                <w:rFonts w:hint="eastAsia" w:ascii="仿宋" w:hAnsi="仿宋" w:eastAsia="仿宋" w:cs="仿宋"/>
                <w:bCs/>
                <w:color w:val="000000"/>
                <w:sz w:val="20"/>
                <w:szCs w:val="20"/>
                <w:lang w:eastAsia="zh-CN"/>
              </w:rPr>
            </w:pPr>
            <w:r>
              <w:rPr>
                <w:rFonts w:hint="eastAsia" w:ascii="仿宋_GB2312" w:hAnsi="宋体" w:eastAsia="仿宋_GB2312"/>
                <w:color w:val="auto"/>
                <w:sz w:val="28"/>
                <w:szCs w:val="28"/>
                <w:highlight w:val="none"/>
              </w:rPr>
              <w:t>基于系统采集的数据，根据国家口岸办和省口岸办的相关要求，做好数据的处理分析工作，保障结果的准确性，完成月度口岸运行情况分析报告共12份。同时，持续优化分析报告内容，结合图表等形式，客观、直观地展示全省口岸运行动态，全面掌握全省口岸货物、人员、交通工具运行，为全省口岸的管理和发展提供有效的数据和决策参考。</w:t>
            </w:r>
          </w:p>
        </w:tc>
        <w:tc>
          <w:tcPr>
            <w:tcW w:w="560" w:type="pct"/>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right="0"/>
              <w:jc w:val="center"/>
              <w:rPr>
                <w:color w:val="000000"/>
              </w:rPr>
            </w:pPr>
            <w:r>
              <w:rPr>
                <w:rFonts w:hint="eastAsia" w:ascii="仿宋_GB2312" w:hAnsi="微软雅黑" w:eastAsia="仿宋_GB2312" w:cs="仿宋_GB2312"/>
                <w:color w:val="000000"/>
                <w:kern w:val="0"/>
                <w:sz w:val="28"/>
                <w:szCs w:val="28"/>
                <w:lang w:val="en-US" w:eastAsia="zh-CN"/>
              </w:rPr>
              <w:t>万元</w:t>
            </w:r>
          </w:p>
        </w:tc>
        <w:tc>
          <w:tcPr>
            <w:tcW w:w="582" w:type="pct"/>
            <w:vMerge w:val="continue"/>
            <w:noWrap w:val="0"/>
            <w:tcMar>
              <w:top w:w="0" w:type="dxa"/>
              <w:left w:w="108" w:type="dxa"/>
              <w:bottom w:w="0" w:type="dxa"/>
              <w:right w:w="108" w:type="dxa"/>
            </w:tcMar>
            <w:vAlign w:val="center"/>
          </w:tcPr>
          <w:p>
            <w:pPr>
              <w:bidi w:val="0"/>
              <w:jc w:val="center"/>
              <w:rPr>
                <w:rFonts w:hint="default"/>
                <w:color w:val="00000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702" w:type="pct"/>
            <w:vMerge w:val="continue"/>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exact"/>
              <w:ind w:left="0" w:right="0"/>
              <w:jc w:val="center"/>
              <w:rPr>
                <w:rFonts w:hint="eastAsia" w:ascii="仿宋" w:hAnsi="仿宋" w:eastAsia="仿宋" w:cs="仿宋"/>
                <w:bCs/>
                <w:color w:val="000000"/>
                <w:kern w:val="2"/>
                <w:sz w:val="21"/>
                <w:szCs w:val="21"/>
                <w:lang w:val="en-US" w:eastAsia="zh-CN"/>
              </w:rPr>
            </w:pPr>
          </w:p>
        </w:tc>
        <w:tc>
          <w:tcPr>
            <w:tcW w:w="3154" w:type="pct"/>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bidi w:val="0"/>
              <w:adjustRightInd/>
              <w:spacing w:line="596" w:lineRule="exact"/>
              <w:jc w:val="left"/>
              <w:textAlignment w:val="auto"/>
              <w:rPr>
                <w:rFonts w:ascii="楷体_GB2312" w:hAnsi="楷体_GB2312" w:eastAsia="楷体_GB2312" w:cs="楷体_GB2312"/>
                <w:b/>
                <w:color w:val="auto"/>
                <w:sz w:val="28"/>
                <w:szCs w:val="28"/>
                <w:highlight w:val="none"/>
              </w:rPr>
            </w:pPr>
            <w:r>
              <w:rPr>
                <w:rFonts w:hint="eastAsia" w:ascii="楷体_GB2312" w:hAnsi="楷体_GB2312" w:eastAsia="楷体_GB2312" w:cs="楷体_GB2312"/>
                <w:b/>
                <w:color w:val="auto"/>
                <w:sz w:val="28"/>
                <w:szCs w:val="28"/>
                <w:highlight w:val="none"/>
                <w:lang w:val="en-US" w:eastAsia="zh-CN"/>
              </w:rPr>
              <w:t>3.</w:t>
            </w:r>
            <w:r>
              <w:rPr>
                <w:rFonts w:hint="eastAsia" w:ascii="楷体_GB2312" w:hAnsi="楷体_GB2312" w:eastAsia="楷体_GB2312" w:cs="楷体_GB2312"/>
                <w:b/>
                <w:color w:val="auto"/>
                <w:sz w:val="28"/>
                <w:szCs w:val="28"/>
                <w:highlight w:val="none"/>
              </w:rPr>
              <w:t>提供系统的日常应用管理支持服务</w:t>
            </w:r>
          </w:p>
          <w:p>
            <w:pPr>
              <w:keepNext w:val="0"/>
              <w:keepLines w:val="0"/>
              <w:pageBreakBefore w:val="0"/>
              <w:widowControl w:val="0"/>
              <w:kinsoku/>
              <w:wordWrap/>
              <w:overflowPunct/>
              <w:topLinePunct w:val="0"/>
              <w:autoSpaceDE/>
              <w:bidi w:val="0"/>
              <w:adjustRightInd/>
              <w:spacing w:line="596" w:lineRule="exact"/>
              <w:jc w:val="left"/>
              <w:textAlignment w:val="auto"/>
              <w:rPr>
                <w:rFonts w:hint="eastAsia" w:ascii="仿宋" w:hAnsi="仿宋" w:eastAsia="仿宋" w:cs="仿宋"/>
                <w:bCs/>
                <w:color w:val="000000"/>
                <w:sz w:val="20"/>
                <w:szCs w:val="20"/>
              </w:rPr>
            </w:pPr>
            <w:r>
              <w:rPr>
                <w:rFonts w:hint="eastAsia" w:ascii="仿宋_GB2312" w:hAnsi="宋体" w:eastAsia="仿宋_GB2312"/>
                <w:color w:val="auto"/>
                <w:sz w:val="28"/>
                <w:szCs w:val="28"/>
                <w:highlight w:val="none"/>
              </w:rPr>
              <w:t>协助省口岸办为各设区市口岸办的系统操作人员提供技术操作指导和日常系统维护服务，做好用户账号管理，保障账号的安全性。监测系统的运行情况，收集系统的各类使用问题和优化建议，及时反馈给省口岸办和系统的技术维护单位并跟进解决，保障系统稳定运行。</w:t>
            </w:r>
          </w:p>
        </w:tc>
        <w:tc>
          <w:tcPr>
            <w:tcW w:w="560" w:type="pct"/>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color w:val="000000"/>
              </w:rPr>
            </w:pPr>
            <w:r>
              <w:rPr>
                <w:rFonts w:hint="eastAsia" w:ascii="仿宋_GB2312" w:hAnsi="微软雅黑" w:eastAsia="仿宋_GB2312" w:cs="仿宋_GB2312"/>
                <w:color w:val="000000"/>
                <w:kern w:val="0"/>
                <w:sz w:val="28"/>
                <w:szCs w:val="28"/>
                <w:lang w:val="en-US" w:eastAsia="zh-CN"/>
              </w:rPr>
              <w:t>万元</w:t>
            </w:r>
          </w:p>
        </w:tc>
        <w:tc>
          <w:tcPr>
            <w:tcW w:w="582" w:type="pct"/>
            <w:vMerge w:val="continue"/>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702" w:type="pct"/>
            <w:vMerge w:val="continue"/>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exact"/>
              <w:ind w:left="0" w:right="0"/>
              <w:jc w:val="center"/>
              <w:rPr>
                <w:rFonts w:hint="eastAsia" w:ascii="仿宋" w:hAnsi="仿宋" w:eastAsia="仿宋" w:cs="仿宋"/>
                <w:bCs/>
                <w:color w:val="000000"/>
                <w:kern w:val="2"/>
                <w:sz w:val="21"/>
                <w:szCs w:val="21"/>
                <w:lang w:val="en-US" w:eastAsia="zh-CN"/>
              </w:rPr>
            </w:pPr>
          </w:p>
        </w:tc>
        <w:tc>
          <w:tcPr>
            <w:tcW w:w="3154" w:type="pct"/>
            <w:noWrap w:val="0"/>
            <w:tcMar>
              <w:top w:w="0" w:type="dxa"/>
              <w:left w:w="108" w:type="dxa"/>
              <w:bottom w:w="0" w:type="dxa"/>
              <w:right w:w="108" w:type="dxa"/>
            </w:tcMar>
            <w:vAlign w:val="center"/>
          </w:tcPr>
          <w:p>
            <w:pPr>
              <w:pStyle w:val="4"/>
              <w:keepNext w:val="0"/>
              <w:keepLines w:val="0"/>
              <w:pageBreakBefore w:val="0"/>
              <w:widowControl w:val="0"/>
              <w:kinsoku/>
              <w:wordWrap/>
              <w:overflowPunct/>
              <w:topLinePunct w:val="0"/>
              <w:autoSpaceDE/>
              <w:autoSpaceDN w:val="0"/>
              <w:bidi w:val="0"/>
              <w:adjustRightInd/>
              <w:spacing w:line="596" w:lineRule="exact"/>
              <w:jc w:val="left"/>
              <w:textAlignment w:val="auto"/>
              <w:rPr>
                <w:rFonts w:hint="eastAsia" w:ascii="楷体_GB2312" w:hAnsi="楷体_GB2312" w:eastAsia="楷体_GB2312" w:cs="楷体_GB2312"/>
                <w:b/>
                <w:bCs/>
                <w:color w:val="auto"/>
                <w:sz w:val="28"/>
                <w:szCs w:val="28"/>
                <w:highlight w:val="none"/>
              </w:rPr>
            </w:pPr>
            <w:r>
              <w:rPr>
                <w:rFonts w:hint="eastAsia" w:ascii="楷体_GB2312" w:hAnsi="楷体_GB2312" w:eastAsia="楷体_GB2312" w:cs="楷体_GB2312"/>
                <w:b/>
                <w:bCs/>
                <w:color w:val="auto"/>
                <w:sz w:val="28"/>
                <w:szCs w:val="28"/>
                <w:highlight w:val="none"/>
                <w:lang w:val="en-US" w:eastAsia="zh-CN"/>
              </w:rPr>
              <w:t>4.</w:t>
            </w:r>
            <w:r>
              <w:rPr>
                <w:rFonts w:hint="eastAsia" w:ascii="楷体_GB2312" w:hAnsi="楷体_GB2312" w:eastAsia="楷体_GB2312" w:cs="楷体_GB2312"/>
                <w:b/>
                <w:bCs/>
                <w:color w:val="auto"/>
                <w:sz w:val="28"/>
                <w:szCs w:val="28"/>
                <w:highlight w:val="none"/>
              </w:rPr>
              <w:t>协助做好各设区市口岸办对接和信息发布工作</w:t>
            </w:r>
          </w:p>
          <w:p>
            <w:pPr>
              <w:pStyle w:val="4"/>
              <w:keepNext w:val="0"/>
              <w:keepLines w:val="0"/>
              <w:pageBreakBefore w:val="0"/>
              <w:widowControl w:val="0"/>
              <w:kinsoku/>
              <w:wordWrap/>
              <w:overflowPunct/>
              <w:topLinePunct w:val="0"/>
              <w:autoSpaceDE/>
              <w:autoSpaceDN w:val="0"/>
              <w:bidi w:val="0"/>
              <w:adjustRightInd/>
              <w:spacing w:line="596" w:lineRule="exact"/>
              <w:jc w:val="left"/>
              <w:textAlignment w:val="auto"/>
              <w:rPr>
                <w:rFonts w:hint="eastAsia" w:ascii="仿宋" w:hAnsi="仿宋" w:eastAsia="仿宋" w:cs="仿宋"/>
                <w:bCs/>
                <w:color w:val="000000"/>
                <w:sz w:val="20"/>
                <w:szCs w:val="20"/>
                <w:lang w:val="en-US" w:eastAsia="zh-CN"/>
              </w:rPr>
            </w:pPr>
            <w:r>
              <w:rPr>
                <w:rFonts w:hint="eastAsia" w:ascii="仿宋_GB2312" w:hAnsi="宋体" w:eastAsia="仿宋_GB2312"/>
                <w:color w:val="auto"/>
                <w:sz w:val="28"/>
                <w:szCs w:val="28"/>
                <w:highlight w:val="none"/>
              </w:rPr>
              <w:t>协助省口岸办做好和各设区市口岸办的日常对接沟通工作，收集对在用系统的建设和应用管理建议，保障各类工作信息的及时传达，协助组织各类口岸数据业务培训。每月收集各大官方媒体对口岸管理工作最新商务动态的报道并转载发布，每月更新数量不少于30条，服务期内更新数量不少于360条，协助做好业务宣传相关的各项支持工作。</w:t>
            </w:r>
          </w:p>
        </w:tc>
        <w:tc>
          <w:tcPr>
            <w:tcW w:w="560" w:type="pct"/>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仿宋_GB2312" w:hAnsi="微软雅黑" w:eastAsia="仿宋_GB2312" w:cs="仿宋_GB2312"/>
                <w:color w:val="000000"/>
                <w:kern w:val="0"/>
                <w:sz w:val="28"/>
                <w:szCs w:val="28"/>
                <w:lang w:val="en-US" w:eastAsia="zh-CN"/>
              </w:rPr>
            </w:pPr>
            <w:r>
              <w:rPr>
                <w:rFonts w:hint="eastAsia" w:ascii="仿宋_GB2312" w:hAnsi="微软雅黑" w:eastAsia="仿宋_GB2312" w:cs="仿宋_GB2312"/>
                <w:color w:val="000000"/>
                <w:kern w:val="0"/>
                <w:sz w:val="28"/>
                <w:szCs w:val="28"/>
                <w:lang w:val="en-US" w:eastAsia="zh-CN"/>
              </w:rPr>
              <w:t>万元</w:t>
            </w:r>
          </w:p>
        </w:tc>
        <w:tc>
          <w:tcPr>
            <w:tcW w:w="582" w:type="pct"/>
            <w:vMerge w:val="continue"/>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仿宋" w:hAnsi="仿宋" w:eastAsia="仿宋" w:cs="仿宋"/>
                <w:color w:val="000000"/>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702" w:type="pct"/>
            <w:vMerge w:val="continue"/>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exact"/>
              <w:ind w:left="0" w:right="0"/>
              <w:jc w:val="center"/>
              <w:rPr>
                <w:rFonts w:hint="eastAsia" w:ascii="仿宋" w:hAnsi="仿宋" w:eastAsia="仿宋" w:cs="仿宋"/>
                <w:bCs/>
                <w:color w:val="000000"/>
                <w:kern w:val="2"/>
                <w:sz w:val="21"/>
                <w:szCs w:val="21"/>
                <w:lang w:val="en-US" w:eastAsia="zh-CN"/>
              </w:rPr>
            </w:pPr>
          </w:p>
        </w:tc>
        <w:tc>
          <w:tcPr>
            <w:tcW w:w="3154" w:type="pct"/>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rFonts w:hint="eastAsia" w:ascii="仿宋" w:hAnsi="仿宋" w:eastAsia="仿宋" w:cs="仿宋"/>
                <w:bCs/>
                <w:color w:val="000000"/>
                <w:sz w:val="21"/>
                <w:szCs w:val="21"/>
                <w:lang w:val="en-US" w:eastAsia="zh-CN"/>
              </w:rPr>
            </w:pPr>
            <w:r>
              <w:rPr>
                <w:rFonts w:hint="eastAsia" w:ascii="仿宋_GB2312" w:hAnsi="微软雅黑" w:eastAsia="仿宋_GB2312" w:cs="仿宋_GB2312"/>
                <w:color w:val="000000"/>
                <w:kern w:val="0"/>
                <w:sz w:val="28"/>
                <w:szCs w:val="28"/>
                <w:lang w:val="en-US" w:eastAsia="zh-CN"/>
              </w:rPr>
              <w:t>合计金额</w:t>
            </w:r>
          </w:p>
        </w:tc>
        <w:tc>
          <w:tcPr>
            <w:tcW w:w="560" w:type="pct"/>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right="0"/>
              <w:jc w:val="center"/>
              <w:rPr>
                <w:rFonts w:hint="default" w:ascii="仿宋_GB2312" w:hAnsi="微软雅黑" w:eastAsia="仿宋_GB2312" w:cs="仿宋_GB2312"/>
                <w:color w:val="000000"/>
                <w:kern w:val="0"/>
                <w:sz w:val="28"/>
                <w:szCs w:val="28"/>
                <w:lang w:val="en-US" w:eastAsia="zh-CN"/>
              </w:rPr>
            </w:pPr>
            <w:r>
              <w:rPr>
                <w:rFonts w:hint="eastAsia" w:ascii="仿宋_GB2312" w:hAnsi="微软雅黑" w:eastAsia="仿宋_GB2312" w:cs="仿宋_GB2312"/>
                <w:color w:val="000000"/>
                <w:kern w:val="0"/>
                <w:sz w:val="28"/>
                <w:szCs w:val="28"/>
                <w:lang w:val="en-US" w:eastAsia="zh-CN"/>
              </w:rPr>
              <w:t>万元</w:t>
            </w:r>
          </w:p>
        </w:tc>
        <w:tc>
          <w:tcPr>
            <w:tcW w:w="582" w:type="pct"/>
            <w:vMerge w:val="continue"/>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仿宋" w:hAnsi="仿宋" w:eastAsia="仿宋" w:cs="仿宋"/>
                <w:color w:val="000000"/>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702" w:type="pct"/>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leftChars="0" w:right="0" w:rightChars="0"/>
              <w:jc w:val="center"/>
              <w:rPr>
                <w:rFonts w:hint="eastAsia" w:ascii="仿宋_GB2312" w:hAnsi="微软雅黑" w:eastAsia="仿宋_GB2312" w:cs="仿宋_GB2312"/>
                <w:color w:val="000000"/>
                <w:kern w:val="0"/>
                <w:sz w:val="28"/>
                <w:szCs w:val="28"/>
                <w:lang w:val="en-US" w:eastAsia="zh-CN"/>
              </w:rPr>
            </w:pPr>
            <w:r>
              <w:rPr>
                <w:rFonts w:hint="eastAsia" w:ascii="仿宋_GB2312" w:hAnsi="微软雅黑" w:eastAsia="仿宋_GB2312" w:cs="仿宋_GB2312"/>
                <w:color w:val="000000"/>
                <w:kern w:val="0"/>
                <w:sz w:val="28"/>
                <w:szCs w:val="28"/>
                <w:lang w:val="en-US" w:eastAsia="zh-CN"/>
              </w:rPr>
              <w:t>报价单位名称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leftChars="0" w:right="0" w:rightChars="0"/>
              <w:jc w:val="center"/>
              <w:rPr>
                <w:rFonts w:hint="eastAsia" w:ascii="Calibri" w:hAnsi="Calibri" w:eastAsia="宋体" w:cs="Times New Roman"/>
                <w:color w:val="000000"/>
                <w:kern w:val="2"/>
                <w:sz w:val="21"/>
                <w:szCs w:val="24"/>
                <w:lang w:val="en-US" w:eastAsia="zh-CN" w:bidi="ar-SA"/>
              </w:rPr>
            </w:pPr>
            <w:r>
              <w:rPr>
                <w:rFonts w:hint="eastAsia" w:ascii="仿宋_GB2312" w:hAnsi="微软雅黑" w:eastAsia="仿宋_GB2312" w:cs="仿宋_GB2312"/>
                <w:color w:val="000000"/>
                <w:kern w:val="0"/>
                <w:sz w:val="28"/>
                <w:szCs w:val="28"/>
                <w:lang w:val="en-US" w:eastAsia="zh-CN"/>
              </w:rPr>
              <w:t>（盖章）</w:t>
            </w:r>
          </w:p>
        </w:tc>
        <w:tc>
          <w:tcPr>
            <w:tcW w:w="4297" w:type="pct"/>
            <w:gridSpan w:val="3"/>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32" w:hRule="atLeast"/>
          <w:jc w:val="center"/>
        </w:trPr>
        <w:tc>
          <w:tcPr>
            <w:tcW w:w="702" w:type="pct"/>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leftChars="0" w:right="0" w:rightChars="0"/>
              <w:jc w:val="center"/>
              <w:rPr>
                <w:rFonts w:hint="eastAsia" w:ascii="Calibri" w:hAnsi="Calibri" w:eastAsia="宋体" w:cs="Times New Roman"/>
                <w:color w:val="000000"/>
                <w:kern w:val="2"/>
                <w:sz w:val="21"/>
                <w:szCs w:val="24"/>
                <w:lang w:val="en-US" w:eastAsia="zh-CN" w:bidi="ar-SA"/>
              </w:rPr>
            </w:pPr>
            <w:r>
              <w:rPr>
                <w:rFonts w:hint="eastAsia" w:ascii="仿宋_GB2312" w:hAnsi="微软雅黑" w:eastAsia="仿宋_GB2312" w:cs="仿宋_GB2312"/>
                <w:color w:val="000000"/>
                <w:kern w:val="0"/>
                <w:sz w:val="28"/>
                <w:szCs w:val="28"/>
                <w:lang w:val="en-US" w:eastAsia="zh-CN"/>
              </w:rPr>
              <w:t>法人代表或授权人签字</w:t>
            </w:r>
          </w:p>
        </w:tc>
        <w:tc>
          <w:tcPr>
            <w:tcW w:w="4297" w:type="pct"/>
            <w:gridSpan w:val="3"/>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702" w:type="pct"/>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leftChars="0" w:right="0" w:rightChars="0"/>
              <w:jc w:val="center"/>
              <w:rPr>
                <w:rFonts w:hint="eastAsia" w:ascii="Calibri" w:hAnsi="Calibri" w:eastAsia="宋体" w:cs="Times New Roman"/>
                <w:color w:val="000000"/>
                <w:kern w:val="2"/>
                <w:sz w:val="21"/>
                <w:szCs w:val="24"/>
                <w:lang w:val="en-US" w:eastAsia="zh-CN" w:bidi="ar-SA"/>
              </w:rPr>
            </w:pPr>
            <w:r>
              <w:rPr>
                <w:rFonts w:hint="eastAsia" w:ascii="仿宋_GB2312" w:hAnsi="微软雅黑" w:eastAsia="仿宋_GB2312" w:cs="仿宋_GB2312"/>
                <w:color w:val="000000"/>
                <w:kern w:val="0"/>
                <w:sz w:val="28"/>
                <w:szCs w:val="28"/>
                <w:lang w:val="en-US" w:eastAsia="zh-CN"/>
              </w:rPr>
              <w:t>联系人及电话</w:t>
            </w:r>
          </w:p>
        </w:tc>
        <w:tc>
          <w:tcPr>
            <w:tcW w:w="4297" w:type="pct"/>
            <w:gridSpan w:val="3"/>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right="0"/>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702" w:type="pct"/>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leftChars="0" w:right="0" w:rightChars="0"/>
              <w:jc w:val="center"/>
              <w:rPr>
                <w:rFonts w:hint="eastAsia" w:ascii="Calibri" w:hAnsi="Calibri" w:eastAsia="宋体" w:cs="Times New Roman"/>
                <w:color w:val="000000"/>
                <w:kern w:val="2"/>
                <w:sz w:val="21"/>
                <w:szCs w:val="24"/>
                <w:lang w:val="en-US" w:eastAsia="zh-CN" w:bidi="ar-SA"/>
              </w:rPr>
            </w:pPr>
            <w:r>
              <w:rPr>
                <w:rFonts w:hint="eastAsia" w:ascii="仿宋_GB2312" w:hAnsi="微软雅黑" w:eastAsia="仿宋_GB2312" w:cs="仿宋_GB2312"/>
                <w:color w:val="000000"/>
                <w:kern w:val="0"/>
                <w:sz w:val="28"/>
                <w:szCs w:val="28"/>
                <w:lang w:val="en-US" w:eastAsia="zh-CN"/>
              </w:rPr>
              <w:t>报价时间</w:t>
            </w:r>
          </w:p>
        </w:tc>
        <w:tc>
          <w:tcPr>
            <w:tcW w:w="4297" w:type="pct"/>
            <w:gridSpan w:val="3"/>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right="0"/>
              <w:jc w:val="center"/>
              <w:rPr>
                <w:color w:val="000000"/>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hZDljMzg2Y2RkNWZmYTI1M2MwYWFjNmVlM2IyNmQifQ=="/>
  </w:docVars>
  <w:rsids>
    <w:rsidRoot w:val="1B650879"/>
    <w:rsid w:val="1B6508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正文 New New New New New"/>
    <w:autoRedefine/>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2024-03-05T03:06:00Z</dcterms:created>
  <dc:creator>林舒婷</dc:creator>
  <cp:lastModifiedBy>林舒婷</cp:lastModifiedBy>
  <dcterms:modified xsi:type="dcterms:W3CDTF">2024-03-05T03:06:17Z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3085CCE3C5AD4D149834B80575916F5E_11</vt:lpwstr>
  </property>
</Properties>
</file>