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FB1" w:rsidRDefault="00621FB1" w:rsidP="00621FB1">
      <w:pPr>
        <w:jc w:val="center"/>
        <w:rPr>
          <w:rFonts w:ascii="宋体" w:hAnsi="宋体" w:cs="Times New Roman"/>
          <w:b/>
          <w:sz w:val="36"/>
          <w:szCs w:val="36"/>
        </w:rPr>
      </w:pPr>
      <w:r>
        <w:rPr>
          <w:rFonts w:ascii="宋体" w:hAnsi="宋体" w:cs="Times New Roman" w:hint="eastAsia"/>
          <w:b/>
          <w:sz w:val="36"/>
          <w:szCs w:val="36"/>
        </w:rPr>
        <w:t>中国（福建）自由贸易试验区厦门片区</w:t>
      </w:r>
    </w:p>
    <w:p w:rsidR="00621FB1" w:rsidRDefault="00621FB1" w:rsidP="00621FB1">
      <w:pPr>
        <w:jc w:val="center"/>
        <w:rPr>
          <w:rFonts w:ascii="宋体" w:hAnsi="宋体" w:cs="Times New Roman" w:hint="eastAsia"/>
          <w:b/>
          <w:sz w:val="36"/>
          <w:szCs w:val="36"/>
        </w:rPr>
      </w:pPr>
      <w:r>
        <w:rPr>
          <w:rFonts w:ascii="宋体" w:hAnsi="宋体" w:cs="Times New Roman" w:hint="eastAsia"/>
          <w:b/>
          <w:sz w:val="36"/>
          <w:szCs w:val="36"/>
        </w:rPr>
        <w:t>道路危险货物运输经营许可实施细则</w:t>
      </w:r>
    </w:p>
    <w:p w:rsidR="00621FB1" w:rsidRDefault="00621FB1" w:rsidP="00621FB1">
      <w:pPr>
        <w:ind w:firstLineChars="200" w:firstLine="640"/>
        <w:rPr>
          <w:rFonts w:ascii="仿宋_GB2312" w:eastAsia="仿宋_GB2312" w:hAnsi="Times New Roman" w:cs="Times New Roman" w:hint="eastAsia"/>
          <w:sz w:val="32"/>
          <w:szCs w:val="32"/>
        </w:rPr>
      </w:pP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为了优化中国（福建）自由贸易试验区厦门片区</w:t>
      </w:r>
      <w:r>
        <w:rPr>
          <w:rFonts w:ascii="仿宋_GB2312" w:eastAsia="仿宋_GB2312" w:hint="eastAsia"/>
          <w:sz w:val="32"/>
          <w:szCs w:val="32"/>
        </w:rPr>
        <w:t>（以下简称“厦门片区”）</w:t>
      </w:r>
      <w:r>
        <w:rPr>
          <w:rFonts w:ascii="仿宋_GB2312" w:eastAsia="仿宋_GB2312" w:hAnsi="Times New Roman" w:cs="Times New Roman" w:hint="eastAsia"/>
          <w:sz w:val="32"/>
          <w:szCs w:val="32"/>
        </w:rPr>
        <w:t>道路危险货物运输经营许可审批流程，完善审批管理方式，营造</w:t>
      </w:r>
      <w:r>
        <w:rPr>
          <w:rFonts w:ascii="仿宋_GB2312" w:eastAsia="仿宋_GB2312" w:hint="eastAsia"/>
          <w:sz w:val="32"/>
          <w:szCs w:val="32"/>
        </w:rPr>
        <w:t>“厦门片区”</w:t>
      </w:r>
      <w:r>
        <w:rPr>
          <w:rFonts w:ascii="仿宋_GB2312" w:eastAsia="仿宋_GB2312" w:hAnsi="Times New Roman" w:cs="Times New Roman" w:hint="eastAsia"/>
          <w:sz w:val="32"/>
          <w:szCs w:val="32"/>
        </w:rPr>
        <w:t>一流的营商环境，根据《国务院关于在自由贸易试验区开展“证照分离”改革全覆盖试点的通知》（国发</w:t>
      </w:r>
      <w:r>
        <w:rPr>
          <w:rFonts w:ascii="仿宋_GB2312" w:eastAsia="仿宋_GB2312" w:hint="eastAsia"/>
          <w:sz w:val="32"/>
          <w:szCs w:val="32"/>
        </w:rPr>
        <w:t>〔2019〕25号</w:t>
      </w:r>
      <w:r>
        <w:rPr>
          <w:rFonts w:ascii="仿宋_GB2312" w:eastAsia="仿宋_GB2312" w:hAnsi="Times New Roman" w:cs="Times New Roman" w:hint="eastAsia"/>
          <w:sz w:val="32"/>
          <w:szCs w:val="32"/>
        </w:rPr>
        <w:t>）</w:t>
      </w:r>
      <w:r>
        <w:rPr>
          <w:rFonts w:ascii="仿宋_GB2312" w:eastAsia="仿宋_GB2312" w:hint="eastAsia"/>
          <w:sz w:val="32"/>
          <w:szCs w:val="32"/>
        </w:rPr>
        <w:t>、《福建省自贸试验区“证照分离”</w:t>
      </w:r>
      <w:r>
        <w:rPr>
          <w:rFonts w:ascii="仿宋_GB2312" w:eastAsia="仿宋_GB2312" w:hAnsi="Times New Roman" w:cs="Times New Roman" w:hint="eastAsia"/>
          <w:sz w:val="32"/>
          <w:szCs w:val="32"/>
        </w:rPr>
        <w:t>改革全覆盖试点实施方案</w:t>
      </w:r>
      <w:r>
        <w:rPr>
          <w:rFonts w:ascii="仿宋_GB2312" w:eastAsia="仿宋_GB2312" w:hint="eastAsia"/>
          <w:sz w:val="32"/>
          <w:szCs w:val="32"/>
        </w:rPr>
        <w:t>》，以及《厦门市人民政府关于印发中国（福建）自由贸易试验区厦门片区“证照分离”改革全覆盖试点实施方案的通知》（厦府〔2019〕429号）</w:t>
      </w:r>
      <w:r>
        <w:rPr>
          <w:rFonts w:ascii="仿宋_GB2312" w:eastAsia="仿宋_GB2312" w:hAnsi="Times New Roman" w:cs="Times New Roman" w:hint="eastAsia"/>
          <w:sz w:val="32"/>
          <w:szCs w:val="32"/>
        </w:rPr>
        <w:t>的相关要求，制定本实施细则。</w:t>
      </w:r>
    </w:p>
    <w:p w:rsidR="00621FB1" w:rsidRDefault="00621FB1" w:rsidP="00621FB1">
      <w:pPr>
        <w:ind w:firstLineChars="200" w:firstLine="643"/>
        <w:rPr>
          <w:rFonts w:ascii="仿宋_GB2312" w:eastAsia="仿宋_GB2312" w:hAnsi="Times New Roman" w:cs="Times New Roman" w:hint="eastAsia"/>
          <w:b/>
          <w:szCs w:val="32"/>
        </w:rPr>
      </w:pPr>
      <w:r>
        <w:rPr>
          <w:rFonts w:ascii="仿宋_GB2312" w:eastAsia="仿宋_GB2312" w:hAnsi="Times New Roman" w:cs="Times New Roman" w:hint="eastAsia"/>
          <w:b/>
          <w:sz w:val="32"/>
          <w:szCs w:val="32"/>
        </w:rPr>
        <w:t>一、审批事项</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中国（福建）自由贸易试验区厦门片区道路危险货物运输经营许可（含道路危险货物运输经营许可和非经营性道路危险货物运输经营许可）。</w:t>
      </w:r>
    </w:p>
    <w:p w:rsidR="00621FB1" w:rsidRDefault="00621FB1" w:rsidP="00621FB1">
      <w:pPr>
        <w:ind w:firstLineChars="200" w:firstLine="643"/>
        <w:rPr>
          <w:rFonts w:ascii="仿宋_GB2312" w:eastAsia="仿宋_GB2312" w:hAnsi="Times New Roman" w:cs="Times New Roman" w:hint="eastAsia"/>
          <w:b/>
          <w:sz w:val="32"/>
          <w:szCs w:val="32"/>
        </w:rPr>
      </w:pPr>
      <w:r>
        <w:rPr>
          <w:rFonts w:ascii="仿宋_GB2312" w:eastAsia="仿宋_GB2312" w:hAnsi="Times New Roman" w:cs="Times New Roman" w:hint="eastAsia"/>
          <w:b/>
          <w:sz w:val="32"/>
          <w:szCs w:val="32"/>
        </w:rPr>
        <w:t>二、审批对象</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中国（福建）自由贸易试验区厦门片区道路危险货物运输企业。</w:t>
      </w:r>
    </w:p>
    <w:p w:rsidR="00621FB1" w:rsidRDefault="00621FB1" w:rsidP="00621FB1">
      <w:pPr>
        <w:ind w:firstLineChars="200" w:firstLine="643"/>
        <w:rPr>
          <w:rFonts w:ascii="仿宋_GB2312" w:eastAsia="仿宋_GB2312" w:hAnsi="Times New Roman" w:cs="Times New Roman" w:hint="eastAsia"/>
          <w:b/>
          <w:sz w:val="32"/>
          <w:szCs w:val="32"/>
        </w:rPr>
      </w:pPr>
      <w:r>
        <w:rPr>
          <w:rFonts w:ascii="仿宋_GB2312" w:eastAsia="仿宋_GB2312" w:hAnsi="Times New Roman" w:cs="Times New Roman" w:hint="eastAsia"/>
          <w:b/>
          <w:sz w:val="32"/>
          <w:szCs w:val="32"/>
        </w:rPr>
        <w:t xml:space="preserve"> 三、审批条件</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（一）道路危险货物运输经营许可</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1.有符合要求的专用车辆及设备；</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lastRenderedPageBreak/>
        <w:t>2.有符合要求的停车场地；</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3.有符合要求的从业人员和安全管理人员；</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4.健全的安全生产管理制度。</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（二）非经营性道路危险货物运输经营许可</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 xml:space="preserve">1.属于下列企事业单位之一： </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 xml:space="preserve">（1）省级以上安全生产监督管理部门批准设立的生产、使用、储存危险化学品的企业。 </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 xml:space="preserve">（2）有特殊需求的科研、军工等企事业单位。 </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2.有符合要求的专用车辆及设备，自有专用车辆（挂车除外）的数量可以少于5辆；</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3.有符合要求的停车场地；</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4.有符合要求的从业人员和安全管理人员；</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5.健全的安全生产管理制度。</w:t>
      </w:r>
    </w:p>
    <w:p w:rsidR="00621FB1" w:rsidRDefault="00621FB1" w:rsidP="00621FB1">
      <w:pPr>
        <w:ind w:firstLineChars="200" w:firstLine="643"/>
        <w:rPr>
          <w:rFonts w:ascii="仿宋_GB2312" w:eastAsia="仿宋_GB2312" w:hAnsi="Times New Roman" w:cs="Times New Roman" w:hint="eastAsia"/>
          <w:b/>
          <w:sz w:val="32"/>
          <w:szCs w:val="32"/>
        </w:rPr>
      </w:pPr>
      <w:r>
        <w:rPr>
          <w:rFonts w:ascii="仿宋_GB2312" w:eastAsia="仿宋_GB2312" w:hAnsi="Times New Roman" w:cs="Times New Roman" w:hint="eastAsia"/>
          <w:b/>
          <w:sz w:val="32"/>
          <w:szCs w:val="32"/>
        </w:rPr>
        <w:t>四、审批材料</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（一）道路危险货物运输经营许可</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1.《道路危险货物运输经营申请表(附件1)》打印件2份（需盖企业公章）；</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2.拟运输的危险货物类别、项别及运营方案（应该结合企业经营实际）打印件2份（需盖企业公章）；</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3.企业的章程打印件2份（需每页盖企业公章，骑缝章）；</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4.投资人、负责人身份证明，经办人的身份证明和委托书打印件2份（委托书加盖公章，原件由我单位信息采集或</w:t>
      </w:r>
      <w:r>
        <w:rPr>
          <w:rFonts w:ascii="仿宋_GB2312" w:eastAsia="仿宋_GB2312" w:hAnsi="Times New Roman" w:cs="Times New Roman" w:hint="eastAsia"/>
          <w:sz w:val="32"/>
          <w:szCs w:val="32"/>
        </w:rPr>
        <w:lastRenderedPageBreak/>
        <w:t>复印后当场退回，电子证照能调用的无需提交）。；</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5.拟投入自有专用车辆（挂车除外）5辆以上；运输剧毒化学品、爆炸品的，自有专用车辆（挂车除外）10辆以上。内容包括：专用车辆数量、类型、技术等级、通讯工具配备、总质量、核定载质量、车轴数以及车辆外廓情况，罐式专用车辆的罐体容积、罐体载货后的总质量与车辆核定载质量匹配情况，运输剧毒、爆炸、易燃、放射性危险货物的专用车辆应当安装具有行驶记录功能的卫星定位装置,若拟投入专用车辆为已购置或者现有的，应提供机动车行驶证、车辆技术等级证书或者车辆技术检测合格证、罐式专用车辆的罐体检测合格证或者检测报告（原件由我单位信息采集或复印后当场退回，电子证照能调用的无需提交）。；</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6.拟聘用驾驶人员、装卸管理人员、押运人员、安全管理人员的从业资格证，驾驶人员的驾驶证（驾驶员和押运员要与车辆1:1比例配置,两类人员不能出现同人现象）（原件由我单位信息采集或复印后当场退回，电子证照能调用的无需提交）；</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7.具备停车场地（租期期限三年以上,面积符合规定要求）、专用停车区域和安全防护、环境保护、消防设施设备的证明材料2份；</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8.安全生产管理制度文本打印件2份，内容包括企业安全生产领导机构及成员职责,安全生产操作规程，安全生产</w:t>
      </w:r>
      <w:r>
        <w:rPr>
          <w:rFonts w:ascii="仿宋_GB2312" w:eastAsia="仿宋_GB2312" w:hAnsi="Times New Roman" w:cs="Times New Roman" w:hint="eastAsia"/>
          <w:sz w:val="32"/>
          <w:szCs w:val="32"/>
        </w:rPr>
        <w:lastRenderedPageBreak/>
        <w:t>和岗位责任制，安全生产监督检查制度，危险货物运输登记制度，从业人员安全管理制度，安全例会制度，安全培训和教育学习制度，车辆、设施、设备安全管理制度，GPS管理制度,车辆日趟检管理制度,事故处理应急预案（管理制度文本应结合企业经营管理实际进行补充和完善）（需盖企业公章）。</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（二）非经营性道路危险货物运输经营许可</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1.《道路危险货物运输申请表(附件2)》打印件2份（需盖企业公章）；</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2.省级以上安全生产监督管理部门颁发的《危险化学品登记证》或能证明科研、军工、通用民航企事业单位性质或者业务范围的材料2份；</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3.特殊运输需求的科研、军工企事业单位说明材料2份（需盖企业公章）；</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4.经办人的身份证原件，所在单位的工作证明或者委托书打印件2份（委托书加盖公章，原件由我单位信息采集或复印后当场退回，电子证照能调用的无需提交）。；</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5.拟投入车辆承诺书打印件2份，内容包括：专用车辆数量、类型、技术等级、通讯工具配备、总质量、核定载质量、车轴数以及车辆外廓情况，罐式专用车辆的罐体容积、罐体载货后的总质量与车辆核定载质量匹配情况，运输剧毒、爆炸、易燃、放射性危险货物的专用车辆配备行驶记录仪或</w:t>
      </w:r>
      <w:r>
        <w:rPr>
          <w:rFonts w:ascii="仿宋_GB2312" w:eastAsia="仿宋_GB2312" w:hAnsi="Times New Roman" w:cs="Times New Roman" w:hint="eastAsia"/>
          <w:sz w:val="32"/>
          <w:szCs w:val="32"/>
        </w:rPr>
        <w:lastRenderedPageBreak/>
        <w:t>者定位系统情况（需盖企业公章）；</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6.若拟投入专用车辆为已购置或者现有的，应提供机动车行驶证原件、车辆登记证书原件或者车辆技术检测合格证原件、罐式专用车辆的罐体检测合格证原件或者检测报告原件（原件由我单位信息采集或复印后当场退回，电子证照能调用的无需提交）；</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7.已聘用或拟聘用驾驶人员、装卸管理人员、押运人员的从业资格证，驾驶人员的驾驶证，（驾驶员和押运员要与车辆1:1比例配置,两类人员不能出现同人现象）（原件由我单位信息采集或复印后当场退回，电子证照能调用的无需提交）；</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8.具备停车场地（租期期限三年以上,面积符合规定要求）、专用停车区域和安全防护、环境保护、消防设施设备的证明材料2份</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9.安全生产管理制度文本2份，内容包括安全生产操作规程，安全例会制度，安全培训和教育学习制度，安全生产监督检查制度，车辆、设施、设备安全管理制度，安全生产和岗位责任制，事故处理应急预案（需盖企业公章）。</w:t>
      </w:r>
    </w:p>
    <w:p w:rsidR="00621FB1" w:rsidRDefault="00621FB1" w:rsidP="00621FB1">
      <w:pPr>
        <w:ind w:firstLineChars="200" w:firstLine="643"/>
        <w:rPr>
          <w:rFonts w:ascii="仿宋_GB2312" w:eastAsia="仿宋_GB2312" w:hAnsi="Times New Roman" w:cs="Times New Roman" w:hint="eastAsia"/>
          <w:b/>
          <w:sz w:val="32"/>
          <w:szCs w:val="32"/>
        </w:rPr>
      </w:pPr>
      <w:r>
        <w:rPr>
          <w:rFonts w:ascii="仿宋_GB2312" w:eastAsia="仿宋_GB2312" w:hAnsi="Times New Roman" w:cs="Times New Roman" w:hint="eastAsia"/>
          <w:b/>
          <w:sz w:val="32"/>
          <w:szCs w:val="32"/>
        </w:rPr>
        <w:t>五、审批流程</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（一）受理；（二）审查；（三）决定。</w:t>
      </w:r>
    </w:p>
    <w:p w:rsidR="00621FB1" w:rsidRDefault="00621FB1" w:rsidP="00621FB1">
      <w:pPr>
        <w:ind w:firstLineChars="200" w:firstLine="643"/>
        <w:rPr>
          <w:rFonts w:ascii="仿宋_GB2312" w:eastAsia="仿宋_GB2312" w:hAnsi="Times New Roman" w:cs="Times New Roman" w:hint="eastAsia"/>
          <w:b/>
          <w:sz w:val="32"/>
          <w:szCs w:val="32"/>
        </w:rPr>
      </w:pPr>
      <w:r>
        <w:rPr>
          <w:rFonts w:ascii="仿宋_GB2312" w:eastAsia="仿宋_GB2312" w:hAnsi="Times New Roman" w:cs="Times New Roman" w:hint="eastAsia"/>
          <w:b/>
          <w:sz w:val="32"/>
          <w:szCs w:val="32"/>
        </w:rPr>
        <w:t>六、审批承诺时限</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（一）法定时限：20个工作日。</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lastRenderedPageBreak/>
        <w:t>（二）承诺时限；7个工作日*24小时。</w:t>
      </w:r>
    </w:p>
    <w:p w:rsidR="00621FB1" w:rsidRDefault="00621FB1" w:rsidP="00621FB1">
      <w:pPr>
        <w:ind w:firstLineChars="200" w:firstLine="643"/>
        <w:rPr>
          <w:rFonts w:ascii="仿宋_GB2312" w:eastAsia="仿宋_GB2312" w:hAnsi="Times New Roman" w:cs="Times New Roman" w:hint="eastAsia"/>
          <w:b/>
          <w:sz w:val="32"/>
          <w:szCs w:val="32"/>
        </w:rPr>
      </w:pPr>
      <w:r>
        <w:rPr>
          <w:rFonts w:ascii="仿宋_GB2312" w:eastAsia="仿宋_GB2312" w:hAnsi="Times New Roman" w:cs="Times New Roman" w:hint="eastAsia"/>
          <w:b/>
          <w:sz w:val="32"/>
          <w:szCs w:val="32"/>
        </w:rPr>
        <w:t>七、简化措施</w:t>
      </w:r>
    </w:p>
    <w:p w:rsidR="00621FB1" w:rsidRDefault="00621FB1" w:rsidP="00621FB1">
      <w:pPr>
        <w:spacing w:line="560" w:lineRule="exact"/>
        <w:ind w:firstLineChars="200" w:firstLine="600"/>
        <w:outlineLvl w:val="1"/>
        <w:rPr>
          <w:rFonts w:ascii="仿宋" w:eastAsia="仿宋" w:hAnsi="仿宋" w:cs="仿宋" w:hint="eastAsia"/>
          <w:sz w:val="30"/>
          <w:szCs w:val="30"/>
        </w:rPr>
      </w:pPr>
      <w:r>
        <w:rPr>
          <w:rFonts w:ascii="仿宋" w:eastAsia="仿宋" w:hAnsi="仿宋" w:cs="宋体" w:hint="eastAsia"/>
          <w:bCs/>
          <w:kern w:val="0"/>
          <w:sz w:val="30"/>
          <w:szCs w:val="30"/>
        </w:rPr>
        <w:t>（一）简化审批流程。</w:t>
      </w:r>
      <w:r>
        <w:rPr>
          <w:rFonts w:ascii="仿宋" w:eastAsia="仿宋" w:hAnsi="仿宋" w:cs="仿宋" w:hint="eastAsia"/>
          <w:sz w:val="30"/>
          <w:szCs w:val="30"/>
        </w:rPr>
        <w:t>目前行政审批新流程为：受理--提出审查意见—批准—出文送达四个环节，与旧流程相比，简化了集体研究环节。</w:t>
      </w:r>
    </w:p>
    <w:p w:rsidR="00621FB1" w:rsidRDefault="00621FB1" w:rsidP="00621FB1">
      <w:pPr>
        <w:spacing w:line="560" w:lineRule="exact"/>
        <w:ind w:firstLineChars="200" w:firstLine="600"/>
        <w:outlineLvl w:val="1"/>
        <w:rPr>
          <w:rFonts w:ascii="仿宋" w:eastAsia="仿宋" w:hAnsi="仿宋" w:cs="仿宋" w:hint="eastAsia"/>
          <w:sz w:val="30"/>
          <w:szCs w:val="30"/>
        </w:rPr>
      </w:pPr>
      <w:r>
        <w:rPr>
          <w:rFonts w:ascii="仿宋" w:eastAsia="仿宋" w:hAnsi="仿宋" w:cs="仿宋" w:hint="eastAsia"/>
          <w:sz w:val="30"/>
          <w:szCs w:val="30"/>
        </w:rPr>
        <w:t>（二）压缩审批时限。本许可办理时限已由法定的20个工作日压缩为7 个工作日。</w:t>
      </w:r>
    </w:p>
    <w:p w:rsidR="00621FB1" w:rsidRDefault="00621FB1" w:rsidP="00621FB1">
      <w:pPr>
        <w:spacing w:line="560" w:lineRule="exact"/>
        <w:ind w:firstLineChars="200" w:firstLine="600"/>
        <w:outlineLvl w:val="1"/>
        <w:rPr>
          <w:rFonts w:ascii="仿宋" w:eastAsia="仿宋" w:hAnsi="仿宋" w:cs="宋体" w:hint="eastAsia"/>
          <w:bCs/>
          <w:kern w:val="0"/>
          <w:sz w:val="30"/>
          <w:szCs w:val="30"/>
        </w:rPr>
      </w:pPr>
      <w:r>
        <w:rPr>
          <w:rFonts w:ascii="仿宋" w:eastAsia="仿宋" w:hAnsi="仿宋" w:cs="宋体" w:hint="eastAsia"/>
          <w:bCs/>
          <w:kern w:val="0"/>
          <w:sz w:val="30"/>
          <w:szCs w:val="30"/>
        </w:rPr>
        <w:t>（三）推动电子证照应用。通过电子证照调用，不再要求申请人提供营业执照等材料。</w:t>
      </w:r>
    </w:p>
    <w:p w:rsidR="00621FB1" w:rsidRDefault="00621FB1" w:rsidP="00621FB1">
      <w:pPr>
        <w:spacing w:line="560" w:lineRule="exact"/>
        <w:ind w:firstLineChars="200" w:firstLine="600"/>
        <w:outlineLvl w:val="1"/>
        <w:rPr>
          <w:rFonts w:ascii="仿宋" w:eastAsia="仿宋" w:hAnsi="仿宋" w:cs="Arial" w:hint="eastAsia"/>
          <w:sz w:val="30"/>
          <w:szCs w:val="30"/>
        </w:rPr>
      </w:pPr>
      <w:r>
        <w:rPr>
          <w:rFonts w:ascii="仿宋" w:eastAsia="仿宋" w:hAnsi="仿宋" w:cs="宋体" w:hint="eastAsia"/>
          <w:bCs/>
          <w:kern w:val="0"/>
          <w:sz w:val="30"/>
          <w:szCs w:val="30"/>
        </w:rPr>
        <w:t>（四）推进“一趟不用跑”：通过“预约上门”等措施，</w:t>
      </w:r>
      <w:r>
        <w:rPr>
          <w:rFonts w:ascii="仿宋" w:eastAsia="仿宋" w:hAnsi="仿宋" w:cs="仿宋" w:hint="eastAsia"/>
          <w:bCs/>
          <w:sz w:val="30"/>
          <w:szCs w:val="30"/>
        </w:rPr>
        <w:t>积极推进申请事项实现</w:t>
      </w:r>
      <w:r>
        <w:rPr>
          <w:rFonts w:ascii="仿宋" w:eastAsia="仿宋" w:hAnsi="仿宋" w:hint="eastAsia"/>
          <w:bCs/>
          <w:sz w:val="30"/>
          <w:szCs w:val="30"/>
        </w:rPr>
        <w:t>“一趟不用跑”。</w:t>
      </w:r>
    </w:p>
    <w:p w:rsidR="00621FB1" w:rsidRDefault="00621FB1" w:rsidP="00621FB1">
      <w:pPr>
        <w:ind w:firstLineChars="200" w:firstLine="643"/>
        <w:rPr>
          <w:rFonts w:ascii="仿宋_GB2312" w:eastAsia="仿宋_GB2312" w:hAnsi="Times New Roman" w:cs="Times New Roman" w:hint="eastAsia"/>
          <w:b/>
          <w:sz w:val="32"/>
          <w:szCs w:val="32"/>
        </w:rPr>
      </w:pPr>
      <w:r>
        <w:rPr>
          <w:rFonts w:ascii="仿宋_GB2312" w:eastAsia="仿宋_GB2312" w:hAnsi="Times New Roman" w:cs="Times New Roman" w:hint="eastAsia"/>
          <w:b/>
          <w:sz w:val="32"/>
          <w:szCs w:val="32"/>
        </w:rPr>
        <w:t>八、审查标准</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道路危险货物运输经营许可：</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（一）拟运输的危险货物类别、项别及运营方案是否与申请经营范围一致；</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（二）是否具备省级以上安全生产监督管理部门颁发的《危险化学品登记证》或能证明科研、军工、通用民航企事业单位性质或者业务范围的材料；</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（三）是否具备特殊运输需求的科研、军工企事业单位说明材料；</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（四）拟投入或自有专用车辆情况是否符合要求，内容包括：专用车辆数量、类型、技术等级、通讯工具配备、总质量、核定载质量、车轴数以及车辆外廓情况，罐式专用车</w:t>
      </w:r>
      <w:r>
        <w:rPr>
          <w:rFonts w:ascii="仿宋_GB2312" w:eastAsia="仿宋_GB2312" w:hAnsi="Times New Roman" w:cs="Times New Roman" w:hint="eastAsia"/>
          <w:sz w:val="32"/>
          <w:szCs w:val="32"/>
        </w:rPr>
        <w:lastRenderedPageBreak/>
        <w:t>辆的罐体容积、罐体载货后的总质量与车辆核定载质量匹配情况，运输剧毒、爆炸、易燃、放射性危险货物的专用车辆应当安装具有行驶记录功能的卫星定位装置,若拟投入专用车辆为已购置或者现有的，应提供机动车行驶证、车辆技术等级证书或者车辆技术检测合格证、罐式专用车辆的罐体检测合格证或者检测报告；</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（五）拟聘用驾驶人员、装卸管理人员、押运人员、安全管理人员是否具备驾驶证、从业资格证；</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（六）停车场地的使用期限是否三年以上,面积是否符合规定要求、专用停车区域和安全防护、环境保护、消防设施设备是否齐全；</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七)安全生产管理制度是否齐全，包括企业安全生产领导机构及成员职责,安全生产操作规程，安全生产和岗位责任制，安全生产监督检查制度，危险货物运输登记制度，从业人员安全管理制度，安全例会制度，安全培训和教育学习制度，车辆、设施、设备安全管理制度，GPS管理制度,车辆日趟检管理制度,事故处理应急预案。</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非经营性道路危险货物运输经营许可：</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（一）拟运输的危险货物类别、项别及运营方案是否与申请经营范围一致；</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（二）拟投入自有专用车辆（挂车除外）是否5辆以上；运输剧毒化学品、爆炸品的，自有专用车辆（挂车除外）是</w:t>
      </w:r>
      <w:r>
        <w:rPr>
          <w:rFonts w:ascii="仿宋_GB2312" w:eastAsia="仿宋_GB2312" w:hAnsi="Times New Roman" w:cs="Times New Roman" w:hint="eastAsia"/>
          <w:sz w:val="32"/>
          <w:szCs w:val="32"/>
        </w:rPr>
        <w:lastRenderedPageBreak/>
        <w:t>否10辆以上。车辆情况是否符合要求，内容包括：专用车辆数量、类型、技术等级、通讯工具配备、总质量、核定载质量、车轴数以及车辆外廓情况，罐式专用车辆的罐体容积、罐体载货后的总质量与车辆核定载质量匹配情况，运输剧毒、爆炸、易燃、放射性危险货物的专用车辆应当安装具有行驶记录功能的卫星定位装置,若拟投入专用车辆为已购置或者现有的，应提供机动车行驶证、车辆技术等级证书或者车辆技术检测合格证、罐式专用车辆的罐体检测合格证或者检测报告；</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（三）拟聘用驾驶人员、装卸管理人员、押运人员、安全管理人员是否具备驾驶证、从业资格证；</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（四）停车场地的使用期限是否三年以上,面积是否符合规定要求、专用停车区域和安全防护、环境保护、消防设施设备是否齐全；</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五）安全生产管理制度是否齐全，包括企业安全生产领导机构及成员职责,安全生产操作规程，安全生产和岗位责任制，安全生产监督检查制度，危险货物运输登记制度，从业人员安全管理制度，安全例会制度，安全培训和教育学习制度，车辆、设施、设备安全管理制度，GPS管理制度,车辆日趟检管理制度,事故处理应急预案。</w:t>
      </w:r>
    </w:p>
    <w:p w:rsidR="00621FB1" w:rsidRDefault="00621FB1" w:rsidP="00621FB1">
      <w:pPr>
        <w:ind w:firstLineChars="200" w:firstLine="643"/>
        <w:rPr>
          <w:rFonts w:ascii="仿宋_GB2312" w:eastAsia="仿宋_GB2312" w:hAnsi="Calibri" w:cs="Arial" w:hint="eastAsia"/>
          <w:b/>
          <w:sz w:val="32"/>
          <w:szCs w:val="32"/>
        </w:rPr>
      </w:pPr>
      <w:r>
        <w:rPr>
          <w:rFonts w:ascii="仿宋_GB2312" w:eastAsia="仿宋_GB2312" w:hAnsi="Times New Roman" w:cs="Times New Roman" w:hint="eastAsia"/>
          <w:b/>
          <w:sz w:val="32"/>
          <w:szCs w:val="32"/>
        </w:rPr>
        <w:t>九、强化事中事后监管</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逐步建立并完善厦门市道路危险货物运输企业经营常</w:t>
      </w:r>
      <w:r>
        <w:rPr>
          <w:rFonts w:ascii="仿宋_GB2312" w:eastAsia="仿宋_GB2312" w:hAnsi="Times New Roman" w:cs="Times New Roman" w:hint="eastAsia"/>
          <w:sz w:val="32"/>
          <w:szCs w:val="32"/>
        </w:rPr>
        <w:lastRenderedPageBreak/>
        <w:t>态化监管工作制度，具体包含监督检查方式、监督检查措施、监督检查程序和监督检查处理等方面内容。根据监管事项检查活动及监管权限的特点，因事施策，灵活选择科学有效的日常监管检查方式，提出具体措施。</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（一）建立资质监管制度</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厦门片区”道路危险货物运输经营者依法取得许可后，监管实施部门即可对其实施资质监管。在监管过程中，监管实施部门发现其提供的申请材料、信息不属实或是不符合相关要求的，当即责令停止经营，限期改正；逾期不按要求整改的或整改不到位的，监管实施部门将其不诚信信息录入信用信息平台，通报给协办实施或监管部门，按照相关规定进行公示，并根据相关法律、法规、规章进行处罚，实施联合惩戒。</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（二）建立“双随机”抽查机制和事中事后监管机制</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结合工作实际，制定“随机抽查事项清单”，明确执法检查依据、主体、内容、方式等，并及时向社会公布。建立“双随机”抽查机制和事中事后监管机制。建立健全检查对象名录库和执法检查人员名录库，通过随机抽取程序，从检查对象名录库中随机抽取检查对象，从执法检查人员名录库中随机选派执法检查人员，严格限制自由裁量权。对于检查中发现的问题，督促检查对象在规定期限内主动整改抽查发现的问题，形成后续跟踪管理机制。</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lastRenderedPageBreak/>
        <w:t>1.监管内容</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（1）企业是否达到经营许可条件。</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（2）企业安全生产责任落实情况：是否有安全资金投入；是否签订从业人员安全生产责任书。</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（3）企业安全生产制度落实情况：是否按期召开安全例会；是否落实制度上墙；是否落实车辆二级维护、年检等制度；是否制定落实应急预案。</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（4）隐患排查情况：隐患排查项目、次数、记录是否符合要求；安全隐患治理是否到位。</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（5）从业人员教育培训情况：是否进行业务技能培训并进行考核。</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（6）车辆档案、人员档案情况：档案是否完整；是否按规定配齐持证上岗的从业人员。</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（7）动态监控情况：重型货运车辆、危货运输车辆经营企业是否按规定设置监控平台和指定任命专职监控人员，并按规定实施监控；台账是否符合规定要求。</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2.抽查方式</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从企业名录库、检查人员名录库中分别系统随机抽取检查对象和检查人员，检查组必须由2名以上检查人员组成。</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3.抽查比例</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每月开展一次随机抽查，抽查工作和下一月抽查计划在每月底前完成。</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lastRenderedPageBreak/>
        <w:t>4.抽查结果处理</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现场检查发现其不再具备经营和安全生产条件的，要责令其整改，逾期不整改或整改不合格的，撤销其备案或许可。在检查中发现企业有涉嫌违反《中华人民共和国道路运输条例》《道路货物运输及站场管理规定》《福建省道路运输条例》等法律、法规的行为，及时向有关部门移交。</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抽查活动结束后，除依法需要保密的信息外，将抽查结果抄送各有关部门和通过厦门市交通运输局网站向社会公布。</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（三）建立公示制度</w:t>
      </w:r>
    </w:p>
    <w:p w:rsidR="00621FB1" w:rsidRDefault="00621FB1" w:rsidP="00621FB1">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监管实施部门要严格落实举报必查，对于群众举报反映的问题，依法办理，按时反馈，抄报相关部门。涉及其他部门的，及时移交相关部门处理，涉嫌犯罪的，移送司法机关依法追究刑事责任。对性质严重和社会影响恶劣的案件，应组织专门力量快查快办，坚决打击严重违反法律法规的行为。鼓励公众通过互联网、举报电话（市效能投诉中心网址：www.xn.xm.gov.cn、监督和投诉电话：0592-12345）、投诉信箱等各种方式反映问题，发挥社会公众和舆论的监督作用，为社会监督创造条件，形成监管合力。</w:t>
      </w:r>
    </w:p>
    <w:p w:rsidR="00A87251" w:rsidRPr="00621FB1" w:rsidRDefault="00A87251"/>
    <w:sectPr w:rsidR="00A87251" w:rsidRPr="00621FB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7251" w:rsidRDefault="00A87251" w:rsidP="00621FB1">
      <w:r>
        <w:separator/>
      </w:r>
    </w:p>
  </w:endnote>
  <w:endnote w:type="continuationSeparator" w:id="1">
    <w:p w:rsidR="00A87251" w:rsidRDefault="00A87251" w:rsidP="00621FB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7251" w:rsidRDefault="00A87251" w:rsidP="00621FB1">
      <w:r>
        <w:separator/>
      </w:r>
    </w:p>
  </w:footnote>
  <w:footnote w:type="continuationSeparator" w:id="1">
    <w:p w:rsidR="00A87251" w:rsidRDefault="00A87251" w:rsidP="00621FB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21FB1"/>
    <w:rsid w:val="00621FB1"/>
    <w:rsid w:val="00A8725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21FB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21FB1"/>
    <w:rPr>
      <w:sz w:val="18"/>
      <w:szCs w:val="18"/>
    </w:rPr>
  </w:style>
  <w:style w:type="paragraph" w:styleId="a4">
    <w:name w:val="footer"/>
    <w:basedOn w:val="a"/>
    <w:link w:val="Char0"/>
    <w:uiPriority w:val="99"/>
    <w:semiHidden/>
    <w:unhideWhenUsed/>
    <w:rsid w:val="00621FB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21FB1"/>
    <w:rPr>
      <w:sz w:val="18"/>
      <w:szCs w:val="18"/>
    </w:rPr>
  </w:style>
</w:styles>
</file>

<file path=word/webSettings.xml><?xml version="1.0" encoding="utf-8"?>
<w:webSettings xmlns:r="http://schemas.openxmlformats.org/officeDocument/2006/relationships" xmlns:w="http://schemas.openxmlformats.org/wordprocessingml/2006/main">
  <w:divs>
    <w:div w:id="43989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762</Words>
  <Characters>4350</Characters>
  <Application>Microsoft Office Word</Application>
  <DocSecurity>0</DocSecurity>
  <Lines>36</Lines>
  <Paragraphs>10</Paragraphs>
  <ScaleCrop>false</ScaleCrop>
  <Company>XM</Company>
  <LinksUpToDate>false</LinksUpToDate>
  <CharactersWithSpaces>5102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高继新</dc:creator>
  <cp:keywords/>
  <dc:description/>
  <cp:lastModifiedBy>高继新</cp:lastModifiedBy>
  <cp:revision>2</cp:revision>
  <dcterms:created xsi:type="dcterms:W3CDTF">2020-01-21T02:16:00Z</dcterms:created>
  <dcterms:modified xsi:type="dcterms:W3CDTF">2020-01-21T02:18:00Z</dcterms:modified>
</cp:coreProperties>
</file>