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0" w:beforeLines="0" w:beforeAutospacing="0" w:after="0" w:afterLines="0" w:afterAutospacing="0" w:line="600" w:lineRule="exact"/>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附件1</w:t>
      </w:r>
    </w:p>
    <w:p>
      <w:pPr>
        <w:jc w:val="center"/>
        <w:rPr>
          <w:rFonts w:hint="eastAsia" w:ascii="方正小标宋简体" w:hAnsi="方正小标宋简体" w:eastAsia="方正小标宋简体"/>
          <w:bCs/>
          <w:sz w:val="36"/>
          <w:szCs w:val="36"/>
          <w:highlight w:val="none"/>
        </w:rPr>
      </w:pPr>
    </w:p>
    <w:p>
      <w:pPr>
        <w:jc w:val="center"/>
        <w:rPr>
          <w:rFonts w:hint="eastAsia" w:ascii="方正小标宋简体" w:hAnsi="方正小标宋简体" w:eastAsia="方正小标宋简体"/>
          <w:bCs/>
          <w:sz w:val="36"/>
          <w:szCs w:val="36"/>
          <w:highlight w:val="none"/>
        </w:rPr>
      </w:pPr>
      <w:bookmarkStart w:id="0" w:name="_GoBack"/>
      <w:r>
        <w:rPr>
          <w:rFonts w:hint="eastAsia" w:ascii="方正小标宋简体" w:hAnsi="方正小标宋简体" w:eastAsia="方正小标宋简体"/>
          <w:bCs/>
          <w:sz w:val="36"/>
          <w:szCs w:val="36"/>
          <w:highlight w:val="none"/>
        </w:rPr>
        <w:t>福建省商务厅20</w:t>
      </w:r>
      <w:r>
        <w:rPr>
          <w:rFonts w:hint="eastAsia" w:ascii="方正小标宋简体" w:hAnsi="方正小标宋简体" w:eastAsia="方正小标宋简体"/>
          <w:bCs/>
          <w:sz w:val="36"/>
          <w:szCs w:val="36"/>
          <w:highlight w:val="none"/>
          <w:lang w:val="en-US" w:eastAsia="zh-CN"/>
        </w:rPr>
        <w:t>20</w:t>
      </w:r>
      <w:r>
        <w:rPr>
          <w:rFonts w:hint="eastAsia" w:ascii="方正小标宋简体" w:hAnsi="方正小标宋简体" w:eastAsia="方正小标宋简体"/>
          <w:bCs/>
          <w:sz w:val="36"/>
          <w:szCs w:val="36"/>
          <w:highlight w:val="none"/>
        </w:rPr>
        <w:t>年度外贸课题</w:t>
      </w:r>
      <w:r>
        <w:rPr>
          <w:rFonts w:hint="eastAsia" w:ascii="方正小标宋简体" w:hAnsi="方正小标宋简体" w:eastAsia="方正小标宋简体"/>
          <w:bCs/>
          <w:sz w:val="36"/>
          <w:szCs w:val="36"/>
          <w:highlight w:val="none"/>
          <w:lang w:eastAsia="zh-CN"/>
        </w:rPr>
        <w:t>汇总</w:t>
      </w:r>
      <w:r>
        <w:rPr>
          <w:rFonts w:hint="eastAsia" w:ascii="方正小标宋简体" w:hAnsi="方正小标宋简体" w:eastAsia="方正小标宋简体"/>
          <w:bCs/>
          <w:sz w:val="36"/>
          <w:szCs w:val="36"/>
          <w:highlight w:val="none"/>
        </w:rPr>
        <w:t>表</w:t>
      </w:r>
    </w:p>
    <w:bookmarkEnd w:id="0"/>
    <w:tbl>
      <w:tblPr>
        <w:tblStyle w:val="2"/>
        <w:tblpPr w:leftFromText="180" w:rightFromText="180" w:vertAnchor="text" w:horzAnchor="page" w:tblpX="1653" w:tblpY="1031"/>
        <w:tblOverlap w:val="never"/>
        <w:tblW w:w="93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
        <w:gridCol w:w="1396"/>
        <w:gridCol w:w="5541"/>
        <w:gridCol w:w="1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trPr>
        <w:tc>
          <w:tcPr>
            <w:tcW w:w="917" w:type="dxa"/>
            <w:noWrap w:val="0"/>
            <w:vAlign w:val="center"/>
          </w:tcPr>
          <w:p>
            <w:pPr>
              <w:spacing w:line="400" w:lineRule="exact"/>
              <w:jc w:val="center"/>
              <w:rPr>
                <w:rFonts w:hint="eastAsia" w:ascii="楷体_GB2312" w:hAnsi="楷体_GB2312" w:eastAsia="楷体_GB2312" w:cs="楷体_GB2312"/>
                <w:b/>
                <w:color w:val="auto"/>
                <w:sz w:val="30"/>
                <w:szCs w:val="30"/>
                <w:lang w:bidi="ar-SA"/>
              </w:rPr>
            </w:pPr>
            <w:r>
              <w:rPr>
                <w:rFonts w:hint="eastAsia" w:ascii="楷体_GB2312" w:hAnsi="楷体_GB2312" w:eastAsia="楷体_GB2312" w:cs="楷体_GB2312"/>
                <w:b/>
                <w:color w:val="auto"/>
                <w:sz w:val="30"/>
                <w:szCs w:val="30"/>
                <w:lang w:bidi="ar-SA"/>
              </w:rPr>
              <w:t>编号</w:t>
            </w:r>
          </w:p>
        </w:tc>
        <w:tc>
          <w:tcPr>
            <w:tcW w:w="1396" w:type="dxa"/>
            <w:noWrap w:val="0"/>
            <w:vAlign w:val="center"/>
          </w:tcPr>
          <w:p>
            <w:pPr>
              <w:spacing w:line="400" w:lineRule="exact"/>
              <w:jc w:val="center"/>
              <w:rPr>
                <w:rFonts w:hint="eastAsia" w:ascii="楷体_GB2312" w:hAnsi="楷体_GB2312" w:eastAsia="楷体_GB2312" w:cs="楷体_GB2312"/>
                <w:b/>
                <w:color w:val="auto"/>
                <w:sz w:val="30"/>
                <w:szCs w:val="30"/>
                <w:lang w:bidi="ar-SA"/>
              </w:rPr>
            </w:pPr>
            <w:r>
              <w:rPr>
                <w:rFonts w:hint="eastAsia" w:ascii="楷体_GB2312" w:hAnsi="楷体_GB2312" w:eastAsia="楷体_GB2312" w:cs="楷体_GB2312"/>
                <w:b/>
                <w:color w:val="auto"/>
                <w:sz w:val="30"/>
                <w:szCs w:val="30"/>
                <w:lang w:bidi="ar-SA"/>
              </w:rPr>
              <w:t>课题</w:t>
            </w:r>
          </w:p>
          <w:p>
            <w:pPr>
              <w:spacing w:line="400" w:lineRule="exact"/>
              <w:jc w:val="center"/>
              <w:rPr>
                <w:rFonts w:hint="eastAsia" w:ascii="楷体_GB2312" w:hAnsi="楷体_GB2312" w:eastAsia="楷体_GB2312" w:cs="楷体_GB2312"/>
                <w:b/>
                <w:color w:val="auto"/>
                <w:sz w:val="30"/>
                <w:szCs w:val="30"/>
                <w:lang w:bidi="ar-SA"/>
              </w:rPr>
            </w:pPr>
            <w:r>
              <w:rPr>
                <w:rFonts w:hint="eastAsia" w:ascii="楷体_GB2312" w:hAnsi="楷体_GB2312" w:eastAsia="楷体_GB2312" w:cs="楷体_GB2312"/>
                <w:b/>
                <w:color w:val="auto"/>
                <w:sz w:val="30"/>
                <w:szCs w:val="30"/>
                <w:lang w:bidi="ar-SA"/>
              </w:rPr>
              <w:t>内容</w:t>
            </w:r>
          </w:p>
        </w:tc>
        <w:tc>
          <w:tcPr>
            <w:tcW w:w="5541" w:type="dxa"/>
            <w:noWrap w:val="0"/>
            <w:vAlign w:val="center"/>
          </w:tcPr>
          <w:p>
            <w:pPr>
              <w:spacing w:line="400" w:lineRule="exact"/>
              <w:jc w:val="center"/>
              <w:rPr>
                <w:rFonts w:hint="eastAsia" w:ascii="楷体_GB2312" w:hAnsi="楷体_GB2312" w:eastAsia="楷体_GB2312" w:cs="楷体_GB2312"/>
                <w:b/>
                <w:color w:val="auto"/>
                <w:sz w:val="30"/>
                <w:szCs w:val="30"/>
                <w:lang w:bidi="ar-SA"/>
              </w:rPr>
            </w:pPr>
            <w:r>
              <w:rPr>
                <w:rFonts w:hint="eastAsia" w:ascii="楷体_GB2312" w:hAnsi="楷体_GB2312" w:eastAsia="楷体_GB2312" w:cs="楷体_GB2312"/>
                <w:b/>
                <w:color w:val="auto"/>
                <w:sz w:val="30"/>
                <w:szCs w:val="30"/>
                <w:lang w:bidi="ar-SA"/>
              </w:rPr>
              <w:t>课题要求</w:t>
            </w:r>
          </w:p>
        </w:tc>
        <w:tc>
          <w:tcPr>
            <w:tcW w:w="1459" w:type="dxa"/>
            <w:noWrap w:val="0"/>
            <w:vAlign w:val="center"/>
          </w:tcPr>
          <w:p>
            <w:pPr>
              <w:spacing w:line="400" w:lineRule="exact"/>
              <w:jc w:val="center"/>
              <w:rPr>
                <w:rFonts w:hint="eastAsia" w:ascii="楷体_GB2312" w:hAnsi="楷体_GB2312" w:eastAsia="楷体_GB2312" w:cs="楷体_GB2312"/>
                <w:b/>
                <w:color w:val="auto"/>
                <w:sz w:val="30"/>
                <w:szCs w:val="30"/>
                <w:lang w:bidi="ar-SA"/>
              </w:rPr>
            </w:pPr>
            <w:r>
              <w:rPr>
                <w:rFonts w:hint="eastAsia" w:ascii="楷体_GB2312" w:hAnsi="楷体_GB2312" w:eastAsia="楷体_GB2312" w:cs="楷体_GB2312"/>
                <w:b/>
                <w:color w:val="auto"/>
                <w:sz w:val="30"/>
                <w:szCs w:val="30"/>
                <w:lang w:bidi="ar-SA"/>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46" w:hRule="atLeast"/>
        </w:trPr>
        <w:tc>
          <w:tcPr>
            <w:tcW w:w="917" w:type="dxa"/>
            <w:noWrap w:val="0"/>
            <w:vAlign w:val="center"/>
          </w:tcPr>
          <w:p>
            <w:pPr>
              <w:spacing w:line="400" w:lineRule="exact"/>
              <w:jc w:val="center"/>
              <w:rPr>
                <w:rFonts w:hint="eastAsia" w:ascii="仿宋_GB2312" w:hAnsi="仿宋_GB2312" w:eastAsia="仿宋_GB2312" w:cs="Times New Roman"/>
                <w:color w:val="auto"/>
                <w:sz w:val="28"/>
                <w:szCs w:val="28"/>
                <w:lang w:bidi="ar-SA"/>
              </w:rPr>
            </w:pPr>
            <w:r>
              <w:rPr>
                <w:rFonts w:hint="eastAsia" w:ascii="仿宋_GB2312" w:hAnsi="仿宋_GB2312" w:eastAsia="仿宋_GB2312" w:cs="Times New Roman"/>
                <w:color w:val="auto"/>
                <w:sz w:val="28"/>
                <w:szCs w:val="28"/>
                <w:lang w:bidi="ar-SA"/>
              </w:rPr>
              <w:t>01</w:t>
            </w:r>
          </w:p>
        </w:tc>
        <w:tc>
          <w:tcPr>
            <w:tcW w:w="1396" w:type="dxa"/>
            <w:noWrap w:val="0"/>
            <w:vAlign w:val="center"/>
          </w:tcPr>
          <w:p>
            <w:pPr>
              <w:spacing w:line="400" w:lineRule="exact"/>
              <w:jc w:val="left"/>
              <w:rPr>
                <w:rFonts w:hint="eastAsia" w:ascii="仿宋_GB2312" w:hAnsi="仿宋_GB2312" w:eastAsia="仿宋_GB2312" w:cs="Times New Roman"/>
                <w:color w:val="auto"/>
                <w:sz w:val="28"/>
                <w:szCs w:val="28"/>
                <w:lang w:bidi="ar-SA"/>
              </w:rPr>
            </w:pPr>
            <w:r>
              <w:rPr>
                <w:rFonts w:hint="eastAsia" w:ascii="仿宋_GB2312" w:hAnsi="仿宋_GB2312" w:eastAsia="仿宋_GB2312" w:cs="仿宋_GB2312"/>
                <w:b/>
                <w:bCs/>
                <w:color w:val="auto"/>
                <w:sz w:val="28"/>
                <w:szCs w:val="28"/>
                <w:lang w:bidi="ar"/>
              </w:rPr>
              <w:t>我省传统劳动密集型产业与外贸强省竞争力对比分析</w:t>
            </w:r>
          </w:p>
        </w:tc>
        <w:tc>
          <w:tcPr>
            <w:tcW w:w="5541" w:type="dxa"/>
            <w:noWrap w:val="0"/>
            <w:vAlign w:val="top"/>
          </w:tcPr>
          <w:p>
            <w:pPr>
              <w:spacing w:line="400" w:lineRule="exact"/>
              <w:jc w:val="left"/>
              <w:rPr>
                <w:rFonts w:hint="eastAsia" w:ascii="仿宋_GB2312" w:hAnsi="仿宋_GB2312" w:eastAsia="仿宋_GB2312" w:cs="Times New Roman"/>
                <w:color w:val="auto"/>
                <w:sz w:val="28"/>
                <w:szCs w:val="28"/>
                <w:lang w:bidi="ar-SA"/>
              </w:rPr>
            </w:pPr>
            <w:r>
              <w:rPr>
                <w:rFonts w:hint="eastAsia" w:ascii="仿宋_GB2312" w:hAnsi="仿宋_GB2312" w:eastAsia="仿宋_GB2312" w:cs="仿宋_GB2312"/>
                <w:color w:val="auto"/>
                <w:sz w:val="28"/>
                <w:szCs w:val="28"/>
                <w:lang w:bidi="ar"/>
              </w:rPr>
              <w:t>我省优势产业集中在传统的劳动密集型产业，全省工业总产值居前5位的行业中有4个属于传统的劳动密集型行业。我省鞋服等传统劳动密集型产品出口占比高于全国18个百分点。拟通过多渠道数据收集、挖掘、整理、分析、对比，深入研究分析我省劳动密集型产业近年来（用近五年数据）产业和外贸发展关联情况，及兄弟省市相关情况。重点分析我省纺织、服装、鞋类、家具、箱包、塑料制品、玩具等传统劳动密集型产业出口与先进省市对比情况，在全国产业中的位次、我省优势市县等，分析优劣势</w:t>
            </w:r>
            <w:r>
              <w:rPr>
                <w:rFonts w:hint="eastAsia" w:ascii="仿宋_GB2312" w:hAnsi="仿宋_GB2312" w:eastAsia="仿宋_GB2312" w:cs="仿宋_GB2312"/>
                <w:color w:val="auto"/>
                <w:sz w:val="28"/>
                <w:szCs w:val="28"/>
                <w:lang w:eastAsia="zh-CN" w:bidi="ar"/>
              </w:rPr>
              <w:t>，梳理我省相关产业龙头企业及发展情况</w:t>
            </w:r>
            <w:r>
              <w:rPr>
                <w:rFonts w:hint="eastAsia" w:ascii="仿宋_GB2312" w:hAnsi="仿宋_GB2312" w:eastAsia="仿宋_GB2312" w:cs="仿宋_GB2312"/>
                <w:color w:val="auto"/>
                <w:sz w:val="28"/>
                <w:szCs w:val="28"/>
                <w:lang w:bidi="ar"/>
              </w:rPr>
              <w:t>。要求课题研究要有详实数据、有案例分析，</w:t>
            </w:r>
            <w:r>
              <w:rPr>
                <w:rFonts w:hint="eastAsia" w:ascii="仿宋_GB2312" w:hAnsi="仿宋_GB2312" w:eastAsia="仿宋_GB2312" w:cs="Times New Roman"/>
                <w:color w:val="auto"/>
                <w:sz w:val="28"/>
                <w:szCs w:val="28"/>
                <w:lang w:bidi="ar-SA"/>
              </w:rPr>
              <w:t>研究提出保市场、帮助企业渡难关和我省传统</w:t>
            </w:r>
            <w:r>
              <w:rPr>
                <w:rFonts w:hint="eastAsia" w:ascii="仿宋_GB2312" w:hAnsi="仿宋_GB2312" w:eastAsia="仿宋_GB2312" w:cs="仿宋_GB2312"/>
                <w:color w:val="auto"/>
                <w:sz w:val="28"/>
                <w:szCs w:val="28"/>
                <w:lang w:bidi="ar"/>
              </w:rPr>
              <w:t>产业转型升级建议。</w:t>
            </w:r>
          </w:p>
        </w:tc>
        <w:tc>
          <w:tcPr>
            <w:tcW w:w="1459" w:type="dxa"/>
            <w:noWrap w:val="0"/>
            <w:vAlign w:val="center"/>
          </w:tcPr>
          <w:p>
            <w:pPr>
              <w:spacing w:line="400" w:lineRule="exact"/>
              <w:rPr>
                <w:rFonts w:hint="eastAsia" w:ascii="仿宋_GB2312" w:hAnsi="仿宋_GB2312" w:eastAsia="仿宋_GB2312" w:cs="Times New Roman"/>
                <w:color w:val="auto"/>
                <w:sz w:val="28"/>
                <w:szCs w:val="28"/>
                <w:lang w:bidi="ar-SA"/>
              </w:rPr>
            </w:pPr>
            <w:r>
              <w:rPr>
                <w:rFonts w:hint="eastAsia" w:ascii="仿宋_GB2312" w:hAnsi="仿宋_GB2312" w:eastAsia="仿宋_GB2312" w:cs="Times New Roman"/>
                <w:color w:val="auto"/>
                <w:sz w:val="28"/>
                <w:szCs w:val="28"/>
                <w:lang w:bidi="ar-SA"/>
              </w:rPr>
              <w:t>2020年10月31日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5" w:hRule="atLeast"/>
        </w:trPr>
        <w:tc>
          <w:tcPr>
            <w:tcW w:w="917" w:type="dxa"/>
            <w:noWrap w:val="0"/>
            <w:vAlign w:val="center"/>
          </w:tcPr>
          <w:p>
            <w:pPr>
              <w:spacing w:line="400" w:lineRule="exact"/>
              <w:jc w:val="center"/>
              <w:rPr>
                <w:rFonts w:hint="eastAsia" w:ascii="仿宋_GB2312" w:hAnsi="仿宋_GB2312" w:eastAsia="仿宋_GB2312" w:cs="Times New Roman"/>
                <w:color w:val="auto"/>
                <w:sz w:val="28"/>
                <w:szCs w:val="28"/>
                <w:lang w:bidi="ar-SA"/>
              </w:rPr>
            </w:pPr>
            <w:r>
              <w:rPr>
                <w:rFonts w:hint="eastAsia" w:ascii="仿宋_GB2312" w:hAnsi="仿宋_GB2312" w:eastAsia="仿宋_GB2312" w:cs="Times New Roman"/>
                <w:color w:val="auto"/>
                <w:sz w:val="28"/>
                <w:szCs w:val="28"/>
                <w:lang w:bidi="ar-SA"/>
              </w:rPr>
              <w:t>02</w:t>
            </w:r>
          </w:p>
        </w:tc>
        <w:tc>
          <w:tcPr>
            <w:tcW w:w="1396" w:type="dxa"/>
            <w:noWrap w:val="0"/>
            <w:vAlign w:val="center"/>
          </w:tcPr>
          <w:p>
            <w:pPr>
              <w:spacing w:line="400" w:lineRule="exact"/>
              <w:jc w:val="left"/>
              <w:rPr>
                <w:rFonts w:hint="eastAsia" w:ascii="仿宋_GB2312" w:hAnsi="仿宋_GB2312" w:eastAsia="仿宋_GB2312" w:cs="Times New Roman"/>
                <w:color w:val="auto"/>
                <w:sz w:val="28"/>
                <w:szCs w:val="28"/>
                <w:lang w:bidi="ar-SA"/>
              </w:rPr>
            </w:pPr>
            <w:r>
              <w:rPr>
                <w:rFonts w:hint="eastAsia" w:ascii="仿宋_GB2312" w:hAnsi="仿宋_GB2312" w:eastAsia="仿宋_GB2312" w:cs="仿宋_GB2312"/>
                <w:b/>
                <w:bCs/>
                <w:color w:val="auto"/>
                <w:sz w:val="28"/>
                <w:szCs w:val="28"/>
                <w:lang w:bidi="ar"/>
              </w:rPr>
              <w:t>我省机电产品、高新技术产品出口与外贸强省竞争力对比分析</w:t>
            </w:r>
          </w:p>
        </w:tc>
        <w:tc>
          <w:tcPr>
            <w:tcW w:w="5541" w:type="dxa"/>
            <w:noWrap w:val="0"/>
            <w:vAlign w:val="top"/>
          </w:tcPr>
          <w:p>
            <w:pPr>
              <w:spacing w:line="400" w:lineRule="exact"/>
              <w:jc w:val="left"/>
              <w:rPr>
                <w:rFonts w:hint="eastAsia" w:ascii="仿宋_GB2312" w:hAnsi="仿宋_GB2312" w:eastAsia="仿宋_GB2312" w:cs="Times New Roman"/>
                <w:color w:val="auto"/>
                <w:sz w:val="28"/>
                <w:szCs w:val="28"/>
                <w:lang w:bidi="ar-SA"/>
              </w:rPr>
            </w:pPr>
            <w:r>
              <w:rPr>
                <w:rFonts w:hint="eastAsia" w:ascii="仿宋_GB2312" w:hAnsi="仿宋_GB2312" w:eastAsia="仿宋_GB2312" w:cs="仿宋_GB2312"/>
                <w:color w:val="auto"/>
                <w:sz w:val="28"/>
                <w:szCs w:val="28"/>
                <w:lang w:bidi="ar"/>
              </w:rPr>
              <w:t>我省机电产品出口占比低于全国21个百分点，对外贸带动作用有限。</w:t>
            </w:r>
            <w:r>
              <w:rPr>
                <w:rFonts w:hint="eastAsia" w:ascii="仿宋_GB2312" w:hAnsi="仿宋_GB2312" w:eastAsia="仿宋_GB2312" w:cs="仿宋_GB2312"/>
                <w:color w:val="auto"/>
                <w:sz w:val="28"/>
                <w:szCs w:val="28"/>
                <w:lang w:bidi="ar-SA"/>
              </w:rPr>
              <w:t>我省高新技术产品出口对经济增长拉动作用不明显,在产品出口结构、出口地区来源、出口国别分布及贸易方式结构不合理,相对于其他发达省市,我省高新技术产品出口竞争力较弱。</w:t>
            </w:r>
            <w:r>
              <w:rPr>
                <w:rFonts w:hint="eastAsia" w:ascii="仿宋_GB2312" w:hAnsi="仿宋_GB2312" w:eastAsia="仿宋_GB2312" w:cs="仿宋_GB2312"/>
                <w:color w:val="auto"/>
                <w:sz w:val="28"/>
                <w:szCs w:val="28"/>
                <w:lang w:bidi="ar"/>
              </w:rPr>
              <w:t>拟通过多渠道数据收集、挖掘、整理、分析、对比，深入研究分析我省近年来（用近五年数据）机电产品、高新技术产品产业发展和外贸发展联动情况，及兄弟省市相关情况。重点分析我省机电产品和高新技术产品出口及产业发展与先进省市对比情况，在全国产业中的位次、我省优势市县等，分析优劣势</w:t>
            </w:r>
            <w:r>
              <w:rPr>
                <w:rFonts w:hint="eastAsia" w:ascii="仿宋_GB2312" w:hAnsi="仿宋_GB2312" w:eastAsia="仿宋_GB2312" w:cs="仿宋_GB2312"/>
                <w:color w:val="auto"/>
                <w:sz w:val="28"/>
                <w:szCs w:val="28"/>
                <w:lang w:eastAsia="zh-CN" w:bidi="ar"/>
              </w:rPr>
              <w:t>，梳理我省相关产业龙头企业及发展情况</w:t>
            </w:r>
            <w:r>
              <w:rPr>
                <w:rFonts w:hint="eastAsia" w:ascii="仿宋_GB2312" w:hAnsi="仿宋_GB2312" w:eastAsia="仿宋_GB2312" w:cs="仿宋_GB2312"/>
                <w:color w:val="auto"/>
                <w:sz w:val="28"/>
                <w:szCs w:val="28"/>
                <w:lang w:bidi="ar"/>
              </w:rPr>
              <w:t>。要求课题研究要有详实数据、有案例分析，</w:t>
            </w:r>
            <w:r>
              <w:rPr>
                <w:rFonts w:hint="eastAsia" w:ascii="仿宋_GB2312" w:hAnsi="仿宋_GB2312" w:eastAsia="仿宋_GB2312" w:cs="Times New Roman"/>
                <w:color w:val="auto"/>
                <w:sz w:val="28"/>
                <w:szCs w:val="28"/>
                <w:lang w:bidi="ar-SA"/>
              </w:rPr>
              <w:t>研究提出保市场、帮助企业渡难关和我省机电、高新技术</w:t>
            </w:r>
            <w:r>
              <w:rPr>
                <w:rFonts w:hint="eastAsia" w:ascii="仿宋_GB2312" w:hAnsi="仿宋_GB2312" w:eastAsia="仿宋_GB2312" w:cs="仿宋_GB2312"/>
                <w:color w:val="auto"/>
                <w:sz w:val="28"/>
                <w:szCs w:val="28"/>
                <w:lang w:bidi="ar"/>
              </w:rPr>
              <w:t>产业转型升级、提升出口占比的建议。</w:t>
            </w:r>
          </w:p>
        </w:tc>
        <w:tc>
          <w:tcPr>
            <w:tcW w:w="1459" w:type="dxa"/>
            <w:noWrap w:val="0"/>
            <w:vAlign w:val="center"/>
          </w:tcPr>
          <w:p>
            <w:pPr>
              <w:spacing w:line="400" w:lineRule="exact"/>
              <w:rPr>
                <w:rFonts w:hint="eastAsia" w:ascii="仿宋_GB2312" w:hAnsi="仿宋_GB2312" w:eastAsia="仿宋_GB2312" w:cs="Times New Roman"/>
                <w:color w:val="auto"/>
                <w:sz w:val="28"/>
                <w:szCs w:val="28"/>
                <w:lang w:bidi="ar-SA"/>
              </w:rPr>
            </w:pPr>
            <w:r>
              <w:rPr>
                <w:rFonts w:hint="eastAsia" w:ascii="仿宋_GB2312" w:hAnsi="仿宋_GB2312" w:eastAsia="仿宋_GB2312" w:cs="Times New Roman"/>
                <w:color w:val="auto"/>
                <w:sz w:val="28"/>
                <w:szCs w:val="28"/>
                <w:lang w:bidi="ar-SA"/>
              </w:rPr>
              <w:t>2020年10月31日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9" w:hRule="atLeast"/>
        </w:trPr>
        <w:tc>
          <w:tcPr>
            <w:tcW w:w="917" w:type="dxa"/>
            <w:noWrap w:val="0"/>
            <w:vAlign w:val="center"/>
          </w:tcPr>
          <w:p>
            <w:pPr>
              <w:spacing w:line="400" w:lineRule="exact"/>
              <w:jc w:val="center"/>
              <w:rPr>
                <w:rFonts w:hint="eastAsia" w:ascii="仿宋_GB2312" w:hAnsi="仿宋_GB2312" w:eastAsia="仿宋_GB2312" w:cs="Times New Roman"/>
                <w:color w:val="auto"/>
                <w:sz w:val="28"/>
                <w:szCs w:val="28"/>
                <w:lang w:bidi="ar-SA"/>
              </w:rPr>
            </w:pPr>
            <w:r>
              <w:rPr>
                <w:rFonts w:hint="eastAsia" w:ascii="仿宋_GB2312" w:hAnsi="仿宋_GB2312" w:eastAsia="仿宋_GB2312" w:cs="Times New Roman"/>
                <w:color w:val="auto"/>
                <w:sz w:val="28"/>
                <w:szCs w:val="28"/>
                <w:lang w:bidi="ar-SA"/>
              </w:rPr>
              <w:t>03</w:t>
            </w:r>
          </w:p>
        </w:tc>
        <w:tc>
          <w:tcPr>
            <w:tcW w:w="1396" w:type="dxa"/>
            <w:noWrap w:val="0"/>
            <w:vAlign w:val="center"/>
          </w:tcPr>
          <w:p>
            <w:pPr>
              <w:spacing w:line="400" w:lineRule="exact"/>
              <w:jc w:val="left"/>
              <w:rPr>
                <w:rFonts w:hint="eastAsia" w:ascii="仿宋_GB2312" w:hAnsi="仿宋_GB2312" w:eastAsia="仿宋_GB2312" w:cs="仿宋_GB2312"/>
                <w:b/>
                <w:bCs/>
                <w:color w:val="auto"/>
                <w:sz w:val="28"/>
                <w:szCs w:val="28"/>
                <w:lang w:bidi="ar"/>
              </w:rPr>
            </w:pPr>
            <w:r>
              <w:rPr>
                <w:rFonts w:hint="eastAsia" w:ascii="仿宋_GB2312" w:hAnsi="仿宋_GB2312" w:eastAsia="仿宋_GB2312" w:cs="仿宋_GB2312"/>
                <w:b/>
                <w:bCs/>
                <w:color w:val="auto"/>
                <w:sz w:val="28"/>
                <w:szCs w:val="28"/>
                <w:lang w:bidi="ar"/>
              </w:rPr>
              <w:t>福建外贸自主品牌竞争力提升研究</w:t>
            </w:r>
          </w:p>
        </w:tc>
        <w:tc>
          <w:tcPr>
            <w:tcW w:w="5541" w:type="dxa"/>
            <w:noWrap w:val="0"/>
            <w:vAlign w:val="center"/>
          </w:tcPr>
          <w:p>
            <w:pPr>
              <w:spacing w:line="400" w:lineRule="exact"/>
              <w:jc w:val="left"/>
              <w:rPr>
                <w:rFonts w:hint="eastAsia" w:ascii="仿宋_GB2312" w:hAnsi="仿宋_GB2312" w:eastAsia="仿宋_GB2312" w:cs="仿宋_GB2312"/>
                <w:color w:val="auto"/>
                <w:sz w:val="28"/>
                <w:szCs w:val="28"/>
                <w:lang w:bidi="ar"/>
              </w:rPr>
            </w:pPr>
            <w:r>
              <w:rPr>
                <w:rFonts w:hint="eastAsia" w:ascii="仿宋_GB2312" w:hAnsi="仿宋_GB2312" w:eastAsia="仿宋_GB2312" w:cs="仿宋_GB2312"/>
                <w:color w:val="auto"/>
                <w:sz w:val="28"/>
                <w:szCs w:val="28"/>
                <w:lang w:bidi="ar"/>
              </w:rPr>
              <w:t>梳理我省自主品牌企业外贸开展情况</w:t>
            </w:r>
            <w:r>
              <w:rPr>
                <w:rFonts w:hint="eastAsia" w:ascii="仿宋_GB2312" w:hAnsi="仿宋_GB2312" w:eastAsia="仿宋_GB2312" w:cs="仿宋_GB2312"/>
                <w:color w:val="auto"/>
                <w:sz w:val="28"/>
                <w:szCs w:val="28"/>
                <w:lang w:eastAsia="zh-CN" w:bidi="ar"/>
              </w:rPr>
              <w:t>（包括出口情况等）</w:t>
            </w:r>
            <w:r>
              <w:rPr>
                <w:rFonts w:hint="eastAsia" w:ascii="仿宋_GB2312" w:hAnsi="仿宋_GB2312" w:eastAsia="仿宋_GB2312" w:cs="仿宋_GB2312"/>
                <w:color w:val="auto"/>
                <w:sz w:val="28"/>
                <w:szCs w:val="28"/>
                <w:lang w:bidi="ar"/>
              </w:rPr>
              <w:t>，重点梳理分析我省未开展外贸业务的内贸知名品牌企业及“专精特新”企业情况外贸业务开展情况，分析自主品牌企业外贸占比，了解自主品牌企业拓展国际市场的困难，提出帮助自主品牌企业拓展外贸、提升国际竞争力对策建议</w:t>
            </w:r>
            <w:r>
              <w:rPr>
                <w:rFonts w:hint="eastAsia" w:ascii="仿宋_GB2312" w:hAnsi="仿宋_GB2312" w:eastAsia="仿宋_GB2312" w:cs="仿宋_GB2312"/>
                <w:color w:val="auto"/>
                <w:sz w:val="28"/>
                <w:szCs w:val="28"/>
                <w:lang w:eastAsia="zh-CN" w:bidi="ar"/>
              </w:rPr>
              <w:t>，并对外贸自主品牌企业开展内贸情况开展分析、提出建议</w:t>
            </w:r>
            <w:r>
              <w:rPr>
                <w:rFonts w:hint="eastAsia" w:ascii="仿宋_GB2312" w:hAnsi="仿宋_GB2312" w:eastAsia="仿宋_GB2312" w:cs="仿宋_GB2312"/>
                <w:color w:val="auto"/>
                <w:sz w:val="28"/>
                <w:szCs w:val="28"/>
                <w:lang w:eastAsia="zh-CN" w:bidi="ar-SA"/>
              </w:rPr>
              <w:t>。</w:t>
            </w:r>
            <w:r>
              <w:rPr>
                <w:rFonts w:hint="eastAsia" w:ascii="仿宋_GB2312" w:hAnsi="仿宋_GB2312" w:eastAsia="仿宋_GB2312" w:cs="仿宋_GB2312"/>
                <w:color w:val="auto"/>
                <w:sz w:val="28"/>
                <w:szCs w:val="28"/>
                <w:lang w:bidi="ar"/>
              </w:rPr>
              <w:t>分析要有数据、有案例、具体详实，能达到一定覆盖面（研究能够覆盖一定自主品牌企业数量）。</w:t>
            </w:r>
          </w:p>
        </w:tc>
        <w:tc>
          <w:tcPr>
            <w:tcW w:w="1459" w:type="dxa"/>
            <w:noWrap w:val="0"/>
            <w:vAlign w:val="center"/>
          </w:tcPr>
          <w:p>
            <w:pPr>
              <w:spacing w:line="400" w:lineRule="exact"/>
              <w:rPr>
                <w:rFonts w:hint="eastAsia" w:ascii="仿宋_GB2312" w:hAnsi="仿宋_GB2312" w:eastAsia="仿宋_GB2312" w:cs="Times New Roman"/>
                <w:color w:val="auto"/>
                <w:sz w:val="28"/>
                <w:szCs w:val="28"/>
                <w:lang w:bidi="ar-SA"/>
              </w:rPr>
            </w:pPr>
            <w:r>
              <w:rPr>
                <w:rFonts w:hint="eastAsia" w:ascii="仿宋_GB2312" w:hAnsi="仿宋_GB2312" w:eastAsia="仿宋_GB2312" w:cs="Times New Roman"/>
                <w:color w:val="auto"/>
                <w:sz w:val="28"/>
                <w:szCs w:val="28"/>
                <w:lang w:bidi="ar-SA"/>
              </w:rPr>
              <w:t>2020年10月31日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2" w:hRule="atLeast"/>
        </w:trPr>
        <w:tc>
          <w:tcPr>
            <w:tcW w:w="917" w:type="dxa"/>
            <w:noWrap w:val="0"/>
            <w:vAlign w:val="center"/>
          </w:tcPr>
          <w:p>
            <w:pPr>
              <w:spacing w:line="400" w:lineRule="exact"/>
              <w:jc w:val="center"/>
              <w:rPr>
                <w:rFonts w:hint="eastAsia" w:ascii="仿宋_GB2312" w:hAnsi="仿宋_GB2312" w:eastAsia="仿宋_GB2312" w:cs="Times New Roman"/>
                <w:color w:val="auto"/>
                <w:sz w:val="28"/>
                <w:szCs w:val="28"/>
                <w:lang w:bidi="ar-SA"/>
              </w:rPr>
            </w:pPr>
            <w:r>
              <w:rPr>
                <w:rFonts w:hint="eastAsia" w:ascii="仿宋_GB2312" w:hAnsi="仿宋_GB2312" w:eastAsia="仿宋_GB2312" w:cs="Times New Roman"/>
                <w:color w:val="auto"/>
                <w:sz w:val="28"/>
                <w:szCs w:val="28"/>
                <w:lang w:bidi="ar-SA"/>
              </w:rPr>
              <w:t>04</w:t>
            </w:r>
          </w:p>
        </w:tc>
        <w:tc>
          <w:tcPr>
            <w:tcW w:w="1396" w:type="dxa"/>
            <w:noWrap w:val="0"/>
            <w:vAlign w:val="center"/>
          </w:tcPr>
          <w:p>
            <w:pPr>
              <w:spacing w:line="400" w:lineRule="exact"/>
              <w:rPr>
                <w:rFonts w:hint="eastAsia" w:ascii="仿宋_GB2312" w:hAnsi="仿宋_GB2312" w:eastAsia="仿宋_GB2312" w:cs="仿宋_GB2312"/>
                <w:b/>
                <w:bCs/>
                <w:color w:val="auto"/>
                <w:sz w:val="28"/>
                <w:szCs w:val="28"/>
                <w:lang w:bidi="ar"/>
              </w:rPr>
            </w:pPr>
            <w:r>
              <w:rPr>
                <w:rFonts w:hint="eastAsia" w:ascii="仿宋_GB2312" w:hAnsi="仿宋_GB2312" w:eastAsia="仿宋_GB2312" w:cs="仿宋_GB2312"/>
                <w:b/>
                <w:bCs/>
                <w:color w:val="auto"/>
                <w:sz w:val="28"/>
                <w:szCs w:val="28"/>
                <w:lang w:bidi="ar"/>
              </w:rPr>
              <w:t>福建省“十四五”时期外贸策略研究</w:t>
            </w:r>
          </w:p>
        </w:tc>
        <w:tc>
          <w:tcPr>
            <w:tcW w:w="5541" w:type="dxa"/>
            <w:noWrap w:val="0"/>
            <w:vAlign w:val="center"/>
          </w:tcPr>
          <w:p>
            <w:pPr>
              <w:spacing w:line="400" w:lineRule="exact"/>
              <w:jc w:val="left"/>
              <w:rPr>
                <w:rFonts w:hint="eastAsia" w:ascii="仿宋_GB2312" w:hAnsi="仿宋_GB2312" w:eastAsia="仿宋_GB2312" w:cs="仿宋_GB2312"/>
                <w:color w:val="auto"/>
                <w:sz w:val="28"/>
                <w:szCs w:val="28"/>
                <w:lang w:bidi="ar"/>
              </w:rPr>
            </w:pPr>
            <w:r>
              <w:rPr>
                <w:rFonts w:hint="eastAsia" w:ascii="仿宋_GB2312" w:hAnsi="仿宋_GB2312" w:eastAsia="仿宋_GB2312" w:cs="仿宋_GB2312"/>
                <w:color w:val="auto"/>
                <w:sz w:val="28"/>
                <w:szCs w:val="28"/>
                <w:lang w:bidi="ar"/>
              </w:rPr>
              <w:t>梳理总结“十三五”时期福建在外贸方面的经验做法和问题不足，分析当今世界变局，尤其是中美贸易摩擦、香港修例风波及“新冠”肺炎疫情等带来的机遇与挑战；深刻把握“十四五”时期福建在国家发展大局中的定位和作用，提出“十四五”时期福建外贸的策略选择及新举措和新机制的政策建议。课题研究既要有高度、深度，又要具可操作性和现实指导意义，贴近福建外贸实际。</w:t>
            </w:r>
          </w:p>
        </w:tc>
        <w:tc>
          <w:tcPr>
            <w:tcW w:w="1459" w:type="dxa"/>
            <w:noWrap w:val="0"/>
            <w:vAlign w:val="center"/>
          </w:tcPr>
          <w:p>
            <w:pPr>
              <w:spacing w:line="400" w:lineRule="exact"/>
              <w:rPr>
                <w:rFonts w:hint="eastAsia" w:ascii="仿宋_GB2312" w:hAnsi="仿宋_GB2312" w:eastAsia="仿宋_GB2312" w:cs="Times New Roman"/>
                <w:color w:val="auto"/>
                <w:sz w:val="28"/>
                <w:szCs w:val="28"/>
                <w:lang w:bidi="ar-SA"/>
              </w:rPr>
            </w:pPr>
            <w:r>
              <w:rPr>
                <w:rFonts w:hint="eastAsia" w:ascii="仿宋_GB2312" w:hAnsi="仿宋_GB2312" w:eastAsia="仿宋_GB2312" w:cs="Times New Roman"/>
                <w:color w:val="auto"/>
                <w:sz w:val="28"/>
                <w:szCs w:val="28"/>
                <w:lang w:bidi="ar-SA"/>
              </w:rPr>
              <w:t>2020年10月31日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17" w:hRule="atLeast"/>
        </w:trPr>
        <w:tc>
          <w:tcPr>
            <w:tcW w:w="917" w:type="dxa"/>
            <w:noWrap w:val="0"/>
            <w:vAlign w:val="center"/>
          </w:tcPr>
          <w:p>
            <w:pPr>
              <w:spacing w:line="400" w:lineRule="exact"/>
              <w:jc w:val="center"/>
              <w:rPr>
                <w:rFonts w:hint="eastAsia" w:ascii="仿宋_GB2312" w:hAnsi="仿宋_GB2312" w:eastAsia="仿宋_GB2312" w:cs="Times New Roman"/>
                <w:color w:val="auto"/>
                <w:sz w:val="28"/>
                <w:szCs w:val="28"/>
                <w:lang w:bidi="ar-SA"/>
              </w:rPr>
            </w:pPr>
            <w:r>
              <w:rPr>
                <w:rFonts w:hint="eastAsia" w:ascii="仿宋_GB2312" w:hAnsi="仿宋_GB2312" w:eastAsia="仿宋_GB2312" w:cs="Times New Roman"/>
                <w:color w:val="auto"/>
                <w:sz w:val="28"/>
                <w:szCs w:val="28"/>
                <w:lang w:bidi="ar-SA"/>
              </w:rPr>
              <w:t>05</w:t>
            </w:r>
          </w:p>
        </w:tc>
        <w:tc>
          <w:tcPr>
            <w:tcW w:w="1396" w:type="dxa"/>
            <w:noWrap w:val="0"/>
            <w:vAlign w:val="center"/>
          </w:tcPr>
          <w:p>
            <w:pPr>
              <w:spacing w:line="400" w:lineRule="exact"/>
              <w:jc w:val="left"/>
              <w:rPr>
                <w:rFonts w:hint="eastAsia" w:ascii="仿宋_GB2312" w:hAnsi="仿宋_GB2312" w:eastAsia="仿宋_GB2312" w:cs="仿宋_GB2312"/>
                <w:b/>
                <w:bCs/>
                <w:color w:val="auto"/>
                <w:sz w:val="28"/>
                <w:szCs w:val="28"/>
                <w:lang w:eastAsia="zh-CN" w:bidi="ar"/>
              </w:rPr>
            </w:pPr>
            <w:r>
              <w:rPr>
                <w:rFonts w:hint="eastAsia" w:ascii="仿宋_GB2312" w:hAnsi="仿宋_GB2312" w:eastAsia="仿宋_GB2312" w:cs="仿宋_GB2312"/>
                <w:b/>
                <w:bCs/>
                <w:color w:val="auto"/>
                <w:sz w:val="28"/>
                <w:szCs w:val="28"/>
                <w:lang w:bidi="ar"/>
              </w:rPr>
              <w:t>福建省外贸高质量发展</w:t>
            </w:r>
            <w:r>
              <w:rPr>
                <w:rFonts w:hint="eastAsia" w:ascii="仿宋_GB2312" w:hAnsi="仿宋_GB2312" w:eastAsia="仿宋_GB2312" w:cs="仿宋_GB2312"/>
                <w:b/>
                <w:bCs/>
                <w:color w:val="auto"/>
                <w:sz w:val="28"/>
                <w:szCs w:val="28"/>
                <w:lang w:eastAsia="zh-CN" w:bidi="ar"/>
              </w:rPr>
              <w:t>研究</w:t>
            </w:r>
          </w:p>
        </w:tc>
        <w:tc>
          <w:tcPr>
            <w:tcW w:w="5541" w:type="dxa"/>
            <w:noWrap w:val="0"/>
            <w:vAlign w:val="center"/>
          </w:tcPr>
          <w:p>
            <w:pPr>
              <w:spacing w:line="400" w:lineRule="exact"/>
              <w:jc w:val="left"/>
              <w:rPr>
                <w:rFonts w:hint="eastAsia" w:ascii="仿宋_GB2312" w:hAnsi="仿宋_GB2312" w:eastAsia="仿宋_GB2312" w:cs="仿宋_GB2312"/>
                <w:color w:val="auto"/>
                <w:sz w:val="28"/>
                <w:szCs w:val="28"/>
                <w:lang w:bidi="ar"/>
              </w:rPr>
            </w:pPr>
            <w:r>
              <w:rPr>
                <w:rFonts w:hint="eastAsia" w:ascii="仿宋_GB2312" w:hAnsi="仿宋_GB2312" w:eastAsia="仿宋_GB2312" w:cs="仿宋_GB2312"/>
                <w:color w:val="auto"/>
                <w:sz w:val="28"/>
                <w:szCs w:val="28"/>
                <w:lang w:bidi="ar-SA"/>
              </w:rPr>
              <w:t>贯彻落实《中共中央 国务院关于推进贸易高质量发展的指导意见》，结合我省实际和外贸发展现状，收集整理兄弟省市政策措施，</w:t>
            </w:r>
            <w:r>
              <w:rPr>
                <w:rFonts w:hint="eastAsia" w:ascii="仿宋_GB2312" w:hAnsi="仿宋_GB2312" w:eastAsia="仿宋_GB2312" w:cs="仿宋_GB2312"/>
                <w:color w:val="auto"/>
                <w:sz w:val="28"/>
                <w:szCs w:val="28"/>
                <w:lang w:eastAsia="zh-CN" w:bidi="ar-SA"/>
              </w:rPr>
              <w:t>定期梳理汇总相关省市政策举措及促进外贸相关经验做法，</w:t>
            </w:r>
            <w:r>
              <w:rPr>
                <w:rFonts w:hint="eastAsia" w:ascii="仿宋_GB2312" w:hAnsi="仿宋_GB2312" w:eastAsia="仿宋_GB2312" w:cs="仿宋_GB2312"/>
                <w:color w:val="auto"/>
                <w:sz w:val="28"/>
                <w:szCs w:val="28"/>
                <w:lang w:bidi="ar-SA"/>
              </w:rPr>
              <w:t>学习借鉴外贸先进省市外贸高质量发展计划和推进路径，研究制订我省推进外贸高质量发展的行动方案或若干措施</w:t>
            </w:r>
            <w:r>
              <w:rPr>
                <w:rFonts w:hint="eastAsia" w:ascii="仿宋_GB2312" w:hAnsi="仿宋_GB2312" w:eastAsia="仿宋_GB2312" w:cs="仿宋_GB2312"/>
                <w:color w:val="auto"/>
                <w:sz w:val="28"/>
                <w:szCs w:val="28"/>
                <w:lang w:eastAsia="zh-CN" w:bidi="ar-SA"/>
              </w:rPr>
              <w:t>。</w:t>
            </w:r>
            <w:r>
              <w:rPr>
                <w:rFonts w:hint="eastAsia" w:ascii="仿宋_GB2312" w:hAnsi="仿宋_GB2312" w:eastAsia="仿宋_GB2312" w:cs="仿宋_GB2312"/>
                <w:color w:val="auto"/>
                <w:sz w:val="28"/>
                <w:szCs w:val="28"/>
                <w:lang w:bidi="ar"/>
              </w:rPr>
              <w:t>研究要具有前瞻性、可操作性、实效性，贴近福建外贸实际。</w:t>
            </w:r>
          </w:p>
        </w:tc>
        <w:tc>
          <w:tcPr>
            <w:tcW w:w="1459" w:type="dxa"/>
            <w:noWrap w:val="0"/>
            <w:vAlign w:val="center"/>
          </w:tcPr>
          <w:p>
            <w:pPr>
              <w:spacing w:line="400" w:lineRule="exact"/>
              <w:rPr>
                <w:rFonts w:hint="eastAsia" w:ascii="仿宋_GB2312" w:hAnsi="仿宋_GB2312" w:eastAsia="仿宋_GB2312" w:cs="Times New Roman"/>
                <w:color w:val="auto"/>
                <w:sz w:val="28"/>
                <w:szCs w:val="28"/>
                <w:lang w:bidi="ar-SA"/>
              </w:rPr>
            </w:pPr>
            <w:r>
              <w:rPr>
                <w:rFonts w:hint="eastAsia" w:ascii="仿宋_GB2312" w:hAnsi="仿宋_GB2312" w:eastAsia="仿宋_GB2312" w:cs="Times New Roman"/>
                <w:color w:val="auto"/>
                <w:sz w:val="28"/>
                <w:szCs w:val="28"/>
                <w:lang w:bidi="ar-SA"/>
              </w:rPr>
              <w:t>2020年10月31日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4" w:hRule="atLeast"/>
        </w:trPr>
        <w:tc>
          <w:tcPr>
            <w:tcW w:w="917" w:type="dxa"/>
            <w:noWrap w:val="0"/>
            <w:vAlign w:val="center"/>
          </w:tcPr>
          <w:p>
            <w:pPr>
              <w:spacing w:line="400" w:lineRule="exact"/>
              <w:jc w:val="center"/>
              <w:rPr>
                <w:rFonts w:hint="eastAsia" w:ascii="仿宋_GB2312" w:hAnsi="仿宋_GB2312" w:eastAsia="仿宋_GB2312" w:cs="Times New Roman"/>
                <w:color w:val="auto"/>
                <w:sz w:val="28"/>
                <w:szCs w:val="28"/>
                <w:lang w:bidi="ar-SA"/>
              </w:rPr>
            </w:pPr>
            <w:r>
              <w:rPr>
                <w:rFonts w:hint="eastAsia" w:ascii="仿宋_GB2312" w:hAnsi="仿宋_GB2312" w:eastAsia="仿宋_GB2312" w:cs="Times New Roman"/>
                <w:color w:val="auto"/>
                <w:sz w:val="28"/>
                <w:szCs w:val="28"/>
                <w:lang w:bidi="ar-SA"/>
              </w:rPr>
              <w:t>06</w:t>
            </w:r>
          </w:p>
        </w:tc>
        <w:tc>
          <w:tcPr>
            <w:tcW w:w="1396" w:type="dxa"/>
            <w:noWrap w:val="0"/>
            <w:vAlign w:val="center"/>
          </w:tcPr>
          <w:p>
            <w:pPr>
              <w:spacing w:line="400" w:lineRule="exact"/>
              <w:jc w:val="left"/>
              <w:rPr>
                <w:rFonts w:hint="eastAsia" w:ascii="仿宋_GB2312" w:hAnsi="仿宋_GB2312" w:eastAsia="仿宋_GB2312" w:cs="仿宋_GB2312"/>
                <w:b/>
                <w:bCs/>
                <w:color w:val="auto"/>
                <w:sz w:val="28"/>
                <w:szCs w:val="28"/>
                <w:lang w:bidi="ar"/>
              </w:rPr>
            </w:pPr>
            <w:r>
              <w:rPr>
                <w:rFonts w:hint="eastAsia" w:ascii="仿宋_GB2312" w:hAnsi="仿宋_GB2312" w:eastAsia="仿宋_GB2312" w:cs="仿宋_GB2312"/>
                <w:b/>
                <w:bCs/>
                <w:color w:val="auto"/>
                <w:sz w:val="28"/>
                <w:szCs w:val="28"/>
                <w:lang w:bidi="ar"/>
              </w:rPr>
              <w:t>福建省外贸综合服务业态发展研究</w:t>
            </w:r>
          </w:p>
        </w:tc>
        <w:tc>
          <w:tcPr>
            <w:tcW w:w="5541" w:type="dxa"/>
            <w:noWrap w:val="0"/>
            <w:vAlign w:val="top"/>
          </w:tcPr>
          <w:p>
            <w:pPr>
              <w:spacing w:line="400" w:lineRule="exact"/>
              <w:jc w:val="left"/>
              <w:rPr>
                <w:rFonts w:hint="eastAsia" w:ascii="仿宋_GB2312" w:hAnsi="仿宋_GB2312" w:eastAsia="仿宋_GB2312" w:cs="Times New Roman"/>
                <w:color w:val="auto"/>
                <w:sz w:val="28"/>
                <w:szCs w:val="28"/>
                <w:lang w:bidi="ar-SA"/>
              </w:rPr>
            </w:pPr>
            <w:r>
              <w:rPr>
                <w:rFonts w:hint="eastAsia" w:ascii="仿宋_GB2312" w:hAnsi="仿宋_GB2312" w:eastAsia="仿宋_GB2312" w:cs="Times New Roman"/>
                <w:color w:val="auto"/>
                <w:sz w:val="28"/>
                <w:szCs w:val="28"/>
                <w:lang w:bidi="ar-SA"/>
              </w:rPr>
              <w:t>我省外综服企业少、服务能力弱、外贸综合服务业态地区发展不平衡等，新业态发展面临瓶颈，和江浙广深等省市发展存在较大差距，拟通过课题研究，重点了解浙江、江苏、广东、湖北、深圳等地外综服业态发展情况、部门支持措施等，分析我省各地市外综服业态发展的堵点、短板。通过对比分析，结合我省实际，提出适合我省外贸综合服务新业态发展的政策建议和支持措施。</w:t>
            </w:r>
            <w:r>
              <w:rPr>
                <w:rFonts w:hint="eastAsia" w:ascii="仿宋_GB2312" w:hAnsi="仿宋_GB2312" w:eastAsia="仿宋_GB2312" w:cs="仿宋_GB2312"/>
                <w:color w:val="auto"/>
                <w:sz w:val="28"/>
                <w:szCs w:val="28"/>
                <w:lang w:bidi="ar"/>
              </w:rPr>
              <w:t>要求课题研究要有数据、有案例、有对比、有分析，具体详实，能够提出科学、有力、有指导意义的可行性举措。</w:t>
            </w:r>
          </w:p>
        </w:tc>
        <w:tc>
          <w:tcPr>
            <w:tcW w:w="1459" w:type="dxa"/>
            <w:noWrap w:val="0"/>
            <w:vAlign w:val="center"/>
          </w:tcPr>
          <w:p>
            <w:pPr>
              <w:spacing w:line="400" w:lineRule="exact"/>
              <w:rPr>
                <w:rFonts w:hint="eastAsia" w:ascii="仿宋_GB2312" w:hAnsi="仿宋_GB2312" w:eastAsia="仿宋_GB2312" w:cs="Times New Roman"/>
                <w:color w:val="auto"/>
                <w:sz w:val="28"/>
                <w:szCs w:val="28"/>
                <w:lang w:bidi="ar-SA"/>
              </w:rPr>
            </w:pPr>
            <w:r>
              <w:rPr>
                <w:rFonts w:hint="eastAsia" w:ascii="仿宋_GB2312" w:hAnsi="仿宋_GB2312" w:eastAsia="仿宋_GB2312" w:cs="Times New Roman"/>
                <w:color w:val="auto"/>
                <w:sz w:val="28"/>
                <w:szCs w:val="28"/>
                <w:lang w:bidi="ar-SA"/>
              </w:rPr>
              <w:t>2020年10月31日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5" w:hRule="atLeast"/>
        </w:trPr>
        <w:tc>
          <w:tcPr>
            <w:tcW w:w="917" w:type="dxa"/>
            <w:noWrap w:val="0"/>
            <w:vAlign w:val="center"/>
          </w:tcPr>
          <w:p>
            <w:pPr>
              <w:spacing w:line="400" w:lineRule="exact"/>
              <w:jc w:val="center"/>
              <w:rPr>
                <w:rFonts w:hint="eastAsia" w:ascii="仿宋_GB2312" w:hAnsi="仿宋_GB2312" w:eastAsia="仿宋_GB2312" w:cs="Times New Roman"/>
                <w:color w:val="auto"/>
                <w:sz w:val="28"/>
                <w:szCs w:val="28"/>
                <w:lang w:bidi="ar-SA"/>
              </w:rPr>
            </w:pPr>
            <w:r>
              <w:rPr>
                <w:rFonts w:hint="eastAsia" w:ascii="仿宋_GB2312" w:hAnsi="仿宋_GB2312" w:eastAsia="仿宋_GB2312" w:cs="Times New Roman"/>
                <w:color w:val="auto"/>
                <w:sz w:val="28"/>
                <w:szCs w:val="28"/>
                <w:lang w:bidi="ar-SA"/>
              </w:rPr>
              <w:t>07</w:t>
            </w:r>
          </w:p>
        </w:tc>
        <w:tc>
          <w:tcPr>
            <w:tcW w:w="1396" w:type="dxa"/>
            <w:noWrap w:val="0"/>
            <w:vAlign w:val="center"/>
          </w:tcPr>
          <w:p>
            <w:pPr>
              <w:spacing w:line="400" w:lineRule="exact"/>
              <w:jc w:val="left"/>
              <w:rPr>
                <w:rFonts w:hint="eastAsia" w:ascii="仿宋_GB2312" w:hAnsi="仿宋_GB2312" w:eastAsia="仿宋_GB2312" w:cs="Times New Roman"/>
                <w:color w:val="auto"/>
                <w:sz w:val="28"/>
                <w:szCs w:val="28"/>
                <w:lang w:bidi="ar-SA"/>
              </w:rPr>
            </w:pPr>
            <w:r>
              <w:rPr>
                <w:rFonts w:hint="eastAsia" w:ascii="仿宋_GB2312" w:hAnsi="仿宋_GB2312" w:eastAsia="仿宋_GB2312" w:cs="仿宋_GB2312"/>
                <w:b/>
                <w:bCs/>
                <w:color w:val="auto"/>
                <w:sz w:val="28"/>
                <w:szCs w:val="28"/>
                <w:lang w:bidi="ar"/>
              </w:rPr>
              <w:t>疫情对福建外贸影响的实证分析</w:t>
            </w:r>
          </w:p>
        </w:tc>
        <w:tc>
          <w:tcPr>
            <w:tcW w:w="5541" w:type="dxa"/>
            <w:noWrap w:val="0"/>
            <w:vAlign w:val="center"/>
          </w:tcPr>
          <w:p>
            <w:pPr>
              <w:widowControl w:val="0"/>
              <w:spacing w:line="400" w:lineRule="exact"/>
              <w:jc w:val="both"/>
              <w:rPr>
                <w:rFonts w:hint="eastAsia" w:ascii="仿宋_GB2312" w:hAnsi="仿宋_GB2312" w:eastAsia="仿宋_GB2312" w:cs="Times New Roman"/>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
              </w:rPr>
              <w:t>当前“新冠”肺炎疫情在我国得到有效控制，但是全球经济受疫情影响，面临巨大下行压力。这场“百年未有之大疫情”对福建外贸影响深，拟通过课题研究，深入分析疫情对福建外贸的实质影响（分行业、分地市区域、分国际市场），以及结合当前部分境外市场“带疫解封”契机、欧盟复工发债契机，分析不同区域国际市场机遇，提出下一阶段我省稳外贸、保主体、拓海外市场、抓订单的对策建议。要求课题报告需提供详实的数据分析和案例做支撑，并结合国际国内发展实际，对我省外贸企业拓海外市场提出科学、有效的指导和建议。</w:t>
            </w:r>
          </w:p>
        </w:tc>
        <w:tc>
          <w:tcPr>
            <w:tcW w:w="1459" w:type="dxa"/>
            <w:noWrap w:val="0"/>
            <w:vAlign w:val="center"/>
          </w:tcPr>
          <w:p>
            <w:pPr>
              <w:spacing w:line="400" w:lineRule="exact"/>
              <w:rPr>
                <w:rFonts w:hint="eastAsia" w:ascii="仿宋_GB2312" w:hAnsi="仿宋_GB2312" w:eastAsia="仿宋_GB2312" w:cs="Times New Roman"/>
                <w:color w:val="auto"/>
                <w:sz w:val="28"/>
                <w:szCs w:val="28"/>
                <w:lang w:bidi="ar-SA"/>
              </w:rPr>
            </w:pPr>
            <w:r>
              <w:rPr>
                <w:rFonts w:hint="eastAsia" w:ascii="仿宋_GB2312" w:hAnsi="仿宋_GB2312" w:eastAsia="仿宋_GB2312" w:cs="Times New Roman"/>
                <w:color w:val="auto"/>
                <w:sz w:val="28"/>
                <w:szCs w:val="28"/>
                <w:lang w:bidi="ar-SA"/>
              </w:rPr>
              <w:t>2020年10月31日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5" w:hRule="atLeast"/>
        </w:trPr>
        <w:tc>
          <w:tcPr>
            <w:tcW w:w="917" w:type="dxa"/>
            <w:noWrap w:val="0"/>
            <w:vAlign w:val="center"/>
          </w:tcPr>
          <w:p>
            <w:pPr>
              <w:spacing w:line="460" w:lineRule="exact"/>
              <w:jc w:val="center"/>
              <w:rPr>
                <w:rFonts w:hint="eastAsia" w:ascii="仿宋_GB2312" w:hAnsi="仿宋_GB2312" w:eastAsia="仿宋_GB2312" w:cs="Times New Roman"/>
                <w:kern w:val="2"/>
                <w:sz w:val="28"/>
                <w:szCs w:val="28"/>
                <w:lang w:val="en-US" w:eastAsia="zh-CN" w:bidi="ar-SA"/>
              </w:rPr>
            </w:pPr>
            <w:r>
              <w:rPr>
                <w:rFonts w:hint="eastAsia" w:ascii="仿宋_GB2312" w:hAnsi="仿宋_GB2312" w:eastAsia="仿宋_GB2312"/>
                <w:sz w:val="28"/>
                <w:szCs w:val="28"/>
              </w:rPr>
              <w:t>08</w:t>
            </w:r>
          </w:p>
        </w:tc>
        <w:tc>
          <w:tcPr>
            <w:tcW w:w="1396" w:type="dxa"/>
            <w:noWrap w:val="0"/>
            <w:vAlign w:val="center"/>
          </w:tcPr>
          <w:p>
            <w:pPr>
              <w:spacing w:line="460" w:lineRule="exact"/>
              <w:jc w:val="left"/>
              <w:rPr>
                <w:rFonts w:hint="eastAsia" w:ascii="仿宋_GB2312" w:hAnsi="仿宋_GB2312" w:eastAsia="仿宋_GB2312" w:cs="Times New Roman"/>
                <w:kern w:val="2"/>
                <w:sz w:val="28"/>
                <w:szCs w:val="28"/>
                <w:lang w:val="en-US" w:eastAsia="zh-CN" w:bidi="ar-SA"/>
              </w:rPr>
            </w:pPr>
            <w:r>
              <w:rPr>
                <w:rFonts w:hint="eastAsia" w:ascii="仿宋_GB2312" w:hAnsi="仿宋_GB2312" w:eastAsia="仿宋_GB2312" w:cs="仿宋_GB2312"/>
                <w:b/>
                <w:bCs/>
                <w:sz w:val="28"/>
                <w:szCs w:val="28"/>
              </w:rPr>
              <w:t>我省对外贸易公共服务平台建设研究</w:t>
            </w:r>
          </w:p>
        </w:tc>
        <w:tc>
          <w:tcPr>
            <w:tcW w:w="5541" w:type="dxa"/>
            <w:noWrap w:val="0"/>
            <w:vAlign w:val="top"/>
          </w:tcPr>
          <w:p>
            <w:pPr>
              <w:spacing w:line="460" w:lineRule="exact"/>
              <w:jc w:val="left"/>
              <w:rPr>
                <w:rFonts w:hint="eastAsia" w:ascii="仿宋_GB2312" w:hAnsi="仿宋_GB2312" w:eastAsia="仿宋_GB2312" w:cs="Times New Roman"/>
                <w:kern w:val="2"/>
                <w:sz w:val="28"/>
                <w:szCs w:val="28"/>
                <w:lang w:val="en-US" w:eastAsia="zh-CN" w:bidi="ar-SA"/>
              </w:rPr>
            </w:pPr>
            <w:r>
              <w:rPr>
                <w:rFonts w:hint="eastAsia" w:ascii="仿宋_GB2312" w:hAnsi="仿宋_GB2312" w:eastAsia="仿宋_GB2312" w:cs="仿宋_GB2312"/>
                <w:sz w:val="28"/>
                <w:szCs w:val="28"/>
              </w:rPr>
              <w:t>我国外贸发展方式转变不断深入,外贸公共服务平台在推进外贸高质量发展、优化资源配置、提升创新能力和转变政府职能等方面发挥着积极作用，各兄弟省市外贸公共服务平台发展迅速，如浙江“品浙行”服务平台、江苏“商务云”服务平台、广东“走出去”服务平台等。拟通过课题研究，收集梳理福建省现有各地市外贸公共服务平台建设情况（建设主体、功能、服务成效等）及外贸先进兄弟省市的外贸公共服务平台建设情况，对比分析福建梳理相关经验做法与平台建设优劣势，提出我省建设外贸公共服务平台的思路和对策。要求课题研究要有数据、有案例、有对比、有分析，具体详实，能够提出科学、有力、有指导意义的可行性举措。</w:t>
            </w:r>
          </w:p>
        </w:tc>
        <w:tc>
          <w:tcPr>
            <w:tcW w:w="1459" w:type="dxa"/>
            <w:noWrap w:val="0"/>
            <w:vAlign w:val="center"/>
          </w:tcPr>
          <w:p>
            <w:pPr>
              <w:spacing w:line="460" w:lineRule="exact"/>
              <w:rPr>
                <w:rFonts w:hint="eastAsia" w:ascii="仿宋_GB2312" w:hAnsi="仿宋_GB2312" w:eastAsia="仿宋_GB2312" w:cs="Times New Roman"/>
                <w:kern w:val="2"/>
                <w:sz w:val="28"/>
                <w:szCs w:val="28"/>
                <w:lang w:val="en-US" w:eastAsia="zh-CN" w:bidi="ar-SA"/>
              </w:rPr>
            </w:pPr>
            <w:r>
              <w:rPr>
                <w:rFonts w:hint="eastAsia" w:ascii="仿宋_GB2312" w:hAnsi="仿宋_GB2312" w:eastAsia="仿宋_GB2312"/>
                <w:sz w:val="28"/>
                <w:szCs w:val="28"/>
              </w:rPr>
              <w:t>2020年10月31日</w:t>
            </w:r>
          </w:p>
        </w:tc>
      </w:tr>
    </w:tbl>
    <w:p>
      <w:pPr>
        <w:jc w:val="center"/>
        <w:rPr>
          <w:rFonts w:hint="eastAsia" w:ascii="方正小标宋简体" w:hAnsi="方正小标宋简体" w:eastAsia="方正小标宋简体"/>
          <w:bCs/>
          <w:sz w:val="36"/>
          <w:szCs w:val="36"/>
          <w:highlight w:val="none"/>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316053"/>
    <w:rsid w:val="033160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Normal (Web)"/>
    <w:uiPriority w:val="0"/>
    <w:pPr>
      <w:widowControl w:val="0"/>
      <w:spacing w:before="100" w:beforeLines="0" w:beforeAutospacing="1" w:after="100" w:afterLines="0" w:afterAutospacing="1"/>
      <w:jc w:val="left"/>
    </w:pPr>
    <w:rPr>
      <w:rFonts w:ascii="Times New Roman" w:hAnsi="Times New Roman" w:eastAsia="宋体" w:cs="Times New Roman"/>
      <w:kern w:val="0"/>
      <w:sz w:val="24"/>
      <w:szCs w:val="20"/>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2020-08-03T03:13:00Z</dcterms:created>
  <dc:creator>Administrator</dc:creator>
  <cp:lastModifiedBy>Administrator</cp:lastModifiedBy>
  <dcterms:modified xsi:type="dcterms:W3CDTF">2020-08-03T03:14:03Z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