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关于2018年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下半年“福建品牌海丝行”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展会扶持资金核定情况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shd w:val="clear" w:fill="FFFFFF"/>
        </w:rPr>
        <w:t>的公示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表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 xml:space="preserve">                                                </w:t>
      </w:r>
      <w:r>
        <w:rPr>
          <w:rFonts w:hint="eastAsia" w:ascii="宋体" w:hAnsi="宋体" w:cs="宋体"/>
          <w:b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 xml:space="preserve">   单位：万元 </w:t>
      </w:r>
    </w:p>
    <w:tbl>
      <w:tblPr>
        <w:tblStyle w:val="4"/>
        <w:tblpPr w:leftFromText="180" w:rightFromText="180" w:vertAnchor="text" w:horzAnchor="page" w:tblpXSpec="center" w:tblpY="80"/>
        <w:tblOverlap w:val="never"/>
        <w:tblW w:w="1225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3475"/>
        <w:gridCol w:w="5370"/>
        <w:gridCol w:w="1080"/>
        <w:gridCol w:w="108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所在地市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福建荟源国际展览有限公司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中国机械电子（菲律宾）品牌展览会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24.7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2018年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下半年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中国-东盟（泰国）商品贸易展览会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37.1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4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马来西亚福建商品展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福建华菱商展有限公司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（非洲）中国商品和装备制造展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28.2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福建省易联展会展服务有限公司</w:t>
            </w:r>
          </w:p>
        </w:tc>
        <w:tc>
          <w:tcPr>
            <w:tcW w:w="53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孟加拉国际鞋业及皮革技术展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22.1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福建正联国际会展商务有限公司</w:t>
            </w:r>
          </w:p>
        </w:tc>
        <w:tc>
          <w:tcPr>
            <w:tcW w:w="537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越南国际电力设备与技术展览会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28.8</w:t>
            </w:r>
          </w:p>
        </w:tc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94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B135D"/>
    <w:rsid w:val="36FB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2019-05-06T01:29:00Z</dcterms:created>
  <dc:creator>Administrator</dc:creator>
  <cp:lastModifiedBy>Administrator</cp:lastModifiedBy>
  <dcterms:modified xsi:type="dcterms:W3CDTF">2019-05-06T01:31:51Z</dcterms:modified>
  <dc:title>关于2018年下半年“福建品牌海丝行”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