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  <w:t>服务内容及要求</w:t>
      </w:r>
    </w:p>
    <w:p>
      <w:pPr>
        <w:spacing w:line="60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一、审核内容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共计67个申报项目。审核每个申报项目的合规性、合法性、真实性、准确性、完整性，如期形成书面报告。其中，企业到资奖励项目57个，审核每笔到资资金（每个项目一般分多笔到资）是否符合申报条件（包括到资时间、金额、资金用途等），并按当天汇率转换成人民币，以及申报通知明确的支持比例确定拟支持金额。对材料不齐全、不完整或不符合申报要求等，需通知企业补充材料。招商工作奖励项目10个，审核材料是否齐全、合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二、审核时间要求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项目审核（含通知企业补充材料）于1个月之内完成，审核结束后出具审核报告。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三、审计人员要求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派出的本项目审核组人员至少3人，其中主审人员不得少于1人，且应具有中级或高级会计师任职资格证书，从事审计工作5年以上。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（一）审核期间，审核组人员均应到现场开展审核工作，并不得中途更换（涉及需回避情形必须更换的，需征得我厅同意）。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（二）报价单位所提供的文件、材料、数据等必须真实可靠。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（三）遵守保密规定，对于在工作中接触到的涉及机关内部事项和秘密、敏感事项，严禁外传。严禁使用互联网传输敏感信息资料。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五、审核费用说明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审核服务费含审核组人员的食宿、交通等所有费用，我厅不再另外支付费用。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5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5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5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5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5AD111FF"/>
    <w:rsid w:val="144F57B5"/>
    <w:rsid w:val="1FAB5D3F"/>
    <w:rsid w:val="22E16906"/>
    <w:rsid w:val="26A341AB"/>
    <w:rsid w:val="312E3F4F"/>
    <w:rsid w:val="352675ED"/>
    <w:rsid w:val="35824436"/>
    <w:rsid w:val="5AD111FF"/>
    <w:rsid w:val="5F2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2024-03-22T00:42:00Z</dcterms:created>
  <dc:creator>Administrator</dc:creator>
  <cp:lastModifiedBy>Administrator</cp:lastModifiedBy>
  <dcterms:modified xsi:type="dcterms:W3CDTF">2024-03-25T06:38:38Z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E7F48760F4964FD5BCE905C350EA07E5_13</vt:lpwstr>
  </property>
</Properties>
</file>