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spacing w:after="93" w:afterLines="30"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政府采购项目预算市场价格调查报价单</w:t>
      </w:r>
    </w:p>
    <w:p>
      <w:pPr>
        <w:spacing w:after="93" w:afterLines="30"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20"/>
        <w:gridCol w:w="5472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2023年安全风险防范咨询服务事项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报价单位名称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服务内容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小计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向重点企业点对点提供安全风险信息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包括但不限于全球安全动态、风险预警、国别政策法规、国别投资指引、国别安全风险报告等方面内容。每日推送不少于3条信息，项目执行期间推送不少于1200条。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协助开展重点企业海外经营情况预警监测工作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协助我厅建立完善重点对外投资合作企业联系服务机制，跟踪了解企业海外经营情况，建立并动态更新重点企业基本信息库、投资建设项目库和困难问题台账，针对企业需求提出解决问题、化解风险的意见建议。协助开展对外投资合作政策宣传，引导企业合规经营，用好用足政策。协助我厅根据工作需要开展境外项目安全风险排查工作。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组织开展“一对一”上门服务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组织专业团队上门服务，了解企业境外项目安全风险防范体系建设情况，开展境外风险管理制度、风险管理措施、人员管理、突发事件应急处置等方面“诊断”，帮助企业找准漏洞和短板，提出改进意见建议，指导企业建立完善境外风险防范体系。项目执行期间服务企业不少于30家，并为其中5家提供境外项目安全风险防范体系建设“体检报告”。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协助组织境外安全风险防范培训、招商推介等活动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协助我厅举办境外安全保障培训班，在课程设计、专家邀请、会务安排等方面提供服务。提供不少于3场本机构或合作伙伴举办的权威性境外安全风险防范培训班、境外招商推介等活动，并协助组织企业参加。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为企业提供资源对接平台服务</w:t>
            </w:r>
          </w:p>
        </w:tc>
        <w:tc>
          <w:tcPr>
            <w:tcW w:w="5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根据重点对外投资合作企业的需求，帮助企业对接外国驻华使馆、境外合作区、第三方专业服务机构（包括语言翻译、人力资源、风险管理、法律事务、会计审计、公共关系、全球救援、商务代理、税务咨询、保险服务等），确保企业能够实现对接、获取服务。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（元）（含税费）</w:t>
            </w:r>
          </w:p>
        </w:tc>
        <w:tc>
          <w:tcPr>
            <w:tcW w:w="8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8"/>
                <w:szCs w:val="28"/>
                <w:lang w:val="en-US" w:eastAsia="zh-CN"/>
              </w:rPr>
              <w:t>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，大写：人民币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或授权人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  <w:tc>
          <w:tcPr>
            <w:tcW w:w="8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right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t xml:space="preserve">   年</w:t>
            </w:r>
            <w:r>
              <w:rPr>
                <w:rFonts w:hint="eastAsia"/>
              </w:rPr>
              <w:t xml:space="preserve"> </w:t>
            </w:r>
            <w:r>
              <w:t xml:space="preserve">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  <w:t>备注：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提交</w:t>
      </w:r>
      <w:r>
        <w:rPr>
          <w:rFonts w:ascii="仿宋_GB2312" w:eastAsia="仿宋_GB2312"/>
          <w:sz w:val="28"/>
          <w:szCs w:val="28"/>
        </w:rPr>
        <w:t>单位符合</w:t>
      </w:r>
      <w:r>
        <w:rPr>
          <w:rFonts w:hint="eastAsia" w:ascii="仿宋_GB2312" w:eastAsia="仿宋_GB2312"/>
          <w:sz w:val="28"/>
          <w:szCs w:val="28"/>
        </w:rPr>
        <w:t>《中华人民共和国政府采购法》第二十二条规定条件；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2</w:t>
      </w:r>
      <w:r>
        <w:rPr>
          <w:rFonts w:ascii="仿宋_GB2312" w:eastAsia="仿宋_GB2312" w:hAnsiTheme="minorHAnsi"/>
          <w:sz w:val="28"/>
          <w:szCs w:val="28"/>
        </w:rPr>
        <w:t>.</w:t>
      </w:r>
      <w:r>
        <w:rPr>
          <w:rFonts w:hint="eastAsia" w:ascii="仿宋_GB2312" w:eastAsia="仿宋_GB2312" w:hAnsiTheme="minorHAnsi"/>
          <w:sz w:val="28"/>
          <w:szCs w:val="28"/>
        </w:rPr>
        <w:t>提交营业执照复印件、本市场需求调查预算报价单</w:t>
      </w:r>
      <w:r>
        <w:rPr>
          <w:rFonts w:hint="eastAsia" w:ascii="仿宋_GB2312" w:eastAsia="仿宋_GB2312" w:hAnsiTheme="minorHAnsi"/>
          <w:sz w:val="28"/>
          <w:szCs w:val="28"/>
          <w:lang w:eastAsia="zh-CN"/>
        </w:rPr>
        <w:t>及报价单位认为与本采购项目有关的其他材料</w:t>
      </w:r>
      <w:r>
        <w:rPr>
          <w:rFonts w:hint="eastAsia" w:ascii="仿宋_GB2312" w:eastAsia="仿宋_GB2312" w:hAnsiTheme="minorHAnsi"/>
          <w:sz w:val="28"/>
          <w:szCs w:val="28"/>
        </w:rPr>
        <w:t>（均加盖公章）；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3</w:t>
      </w:r>
      <w:r>
        <w:rPr>
          <w:rFonts w:ascii="仿宋_GB2312" w:eastAsia="仿宋_GB2312" w:hAnsiTheme="minorHAnsi"/>
          <w:sz w:val="28"/>
          <w:szCs w:val="28"/>
        </w:rPr>
        <w:t>.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应对每项服务内容进行分别报价，总报价应包括税费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</w:pPr>
      <w:r>
        <w:rPr>
          <w:rFonts w:hint="eastAsia" w:ascii="仿宋_GB2312" w:eastAsia="仿宋_GB2312" w:hAnsiTheme="minorHAnsi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 w:hAnsiTheme="minorHAnsi"/>
          <w:sz w:val="28"/>
          <w:szCs w:val="28"/>
        </w:rPr>
        <w:t>所递送文件需自行密封并在封口处加盖公章。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zA0MjhlMDM2NTA1MGM2MjRiYjkzNTFjZjgwNGUifQ=="/>
  </w:docVars>
  <w:rsids>
    <w:rsidRoot w:val="728556AA"/>
    <w:rsid w:val="09422B09"/>
    <w:rsid w:val="0B190BB5"/>
    <w:rsid w:val="12534D32"/>
    <w:rsid w:val="162D5E11"/>
    <w:rsid w:val="1F962FA7"/>
    <w:rsid w:val="274243CE"/>
    <w:rsid w:val="2C397EB6"/>
    <w:rsid w:val="31C003CA"/>
    <w:rsid w:val="32E62D7E"/>
    <w:rsid w:val="37D6764D"/>
    <w:rsid w:val="3AF6074A"/>
    <w:rsid w:val="3D6A2E23"/>
    <w:rsid w:val="49E30CA1"/>
    <w:rsid w:val="55224E2B"/>
    <w:rsid w:val="59060AA5"/>
    <w:rsid w:val="59BF3F59"/>
    <w:rsid w:val="5B587772"/>
    <w:rsid w:val="5BFE7BBD"/>
    <w:rsid w:val="5E00153F"/>
    <w:rsid w:val="5F575076"/>
    <w:rsid w:val="62913275"/>
    <w:rsid w:val="66A020CD"/>
    <w:rsid w:val="68AA7102"/>
    <w:rsid w:val="697E2B3F"/>
    <w:rsid w:val="6D6760CA"/>
    <w:rsid w:val="7056191E"/>
    <w:rsid w:val="728556AA"/>
    <w:rsid w:val="72D51F74"/>
    <w:rsid w:val="76044E0A"/>
    <w:rsid w:val="76BF4333"/>
    <w:rsid w:val="7B14085A"/>
    <w:rsid w:val="7D6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无间隔1"/>
    <w:basedOn w:val="1"/>
    <w:qFormat/>
    <w:uiPriority w:val="0"/>
    <w:pPr>
      <w:spacing w:line="400" w:lineRule="exact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376</Characters>
  <Lines>0</Lines>
  <Paragraphs>0</Paragraphs>
  <TotalTime>4</TotalTime>
  <ScaleCrop>false</ScaleCrop>
  <LinksUpToDate>false</LinksUpToDate>
  <CharactersWithSpaces>404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2022-09-16T10:00:00Z</dcterms:created>
  <dc:creator>lenovo</dc:creator>
  <cp:lastModifiedBy>Administrator</cp:lastModifiedBy>
  <cp:lastPrinted>2022-11-08T00:51:00Z</cp:lastPrinted>
  <dcterms:modified xsi:type="dcterms:W3CDTF">2023-10-20T07:36:08Z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DB9975D1031B4309A7E192D5E197AD68_13</vt:lpwstr>
  </property>
</Properties>
</file>