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服务内容及要求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服务内容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审计需严格对照《关于开展2023年省级商务发展专项资金电子商务发展方向申报工作的通知》（闽商务〔2023〕91号，以下简称《通知》）要求和支持标准进行核查，并出具审计报告。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.跨境电商扶持项目。按照《通知》附件1《2023年跨境电商扶持项目申报指南》的要求和支持标准，认真核查“海关监管场所运营”项目的跨境电商交易额、报关单、货值、票数、快件量、企业经营状况、财务状况等业务开展情况等；“海关监管场所扩建、新建”项目的投资额、企业经营状况、财务状况等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2.内贸电商项目。按照《通知》附件2《2023年内贸电商扶持项目申报指南》的要求和支持标准，认真核查企业是否符合申报条件，申报要件是否齐全，申报数据是否真实有效。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除对申报资料进行审计外，还需赴企业现场核实并审计，预计需赴20个县（市、区）实地核查33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个申报项目，投标费用含审计、食宿、交通费用等，我厅不再另外支付费用。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：1.供应商需在福建省会计师事务所综合评价前50名之内；2.项目需配置2个审计小组，参与人员至少按4人配置（每组至少2人，含注册会计师1人和助理人员1人）；  </w:t>
      </w:r>
    </w:p>
    <w:p>
      <w:pPr>
        <w:spacing w:line="58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3.按相关文件规定和要求，在委托方提供审计所需的全部资料后10日内出具审计报告，并对委托事项履行保密职责。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NjdiMDA3NjAzYzZiMDY1ZTZmMTFhZmI0YjY0YzUifQ=="/>
  </w:docVars>
  <w:rsids>
    <w:rsidRoot w:val="768C2E75"/>
    <w:rsid w:val="768C2E75"/>
    <w:rsid w:val="7CF0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530</Characters>
  <Lines>0</Lines>
  <Paragraphs>0</Paragraphs>
  <TotalTime>1</TotalTime>
  <ScaleCrop>false</ScaleCrop>
  <LinksUpToDate>false</LinksUpToDate>
  <CharactersWithSpaces>532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2023-08-07T08:59:00Z</dcterms:created>
  <dc:creator>Administrator</dc:creator>
  <cp:lastModifiedBy>逍遥游</cp:lastModifiedBy>
  <dcterms:modified xsi:type="dcterms:W3CDTF">2023-08-14T04:52:51Z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EAEFD04FFD6D456BBB756CFA408F8584_12</vt:lpwstr>
  </property>
</Properties>
</file>