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849241">
      <w:pPr>
        <w:jc w:val="left"/>
        <w:rPr>
          <w:rFonts w:ascii="仿宋_GB2312" w:hAnsi="仿宋_GB2312" w:eastAsia="仿宋_GB2312" w:cs="仿宋_GB2312"/>
          <w:sz w:val="36"/>
          <w:szCs w:val="36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6"/>
          <w:szCs w:val="36"/>
        </w:rPr>
        <w:t>附件：</w:t>
      </w:r>
    </w:p>
    <w:p w14:paraId="05D0AEB4">
      <w:pPr>
        <w:jc w:val="center"/>
        <w:rPr>
          <w:rFonts w:ascii="方正小标宋简体" w:hAnsi="方正小标宋简体" w:eastAsia="方正小标宋简体" w:cs="方正小标宋简体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sz w:val="48"/>
          <w:szCs w:val="48"/>
        </w:rPr>
        <w:t>评审细则</w:t>
      </w:r>
    </w:p>
    <w:p w14:paraId="213F1EBB">
      <w:pPr>
        <w:jc w:val="left"/>
        <w:rPr>
          <w:rFonts w:ascii="仿宋_GB2312" w:hAnsi="仿宋_GB2312" w:eastAsia="仿宋_GB2312" w:cs="仿宋_GB2312"/>
          <w:sz w:val="36"/>
          <w:szCs w:val="36"/>
        </w:rPr>
      </w:pPr>
    </w:p>
    <w:p w14:paraId="72954C4C">
      <w:pPr>
        <w:jc w:val="left"/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（一）主体资格审查</w:t>
      </w:r>
    </w:p>
    <w:tbl>
      <w:tblPr>
        <w:tblStyle w:val="13"/>
        <w:tblW w:w="91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0"/>
        <w:gridCol w:w="6289"/>
      </w:tblGrid>
      <w:tr w14:paraId="3A53B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82D366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</w:rPr>
              <w:t>审查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项目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DCDE1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lang w:val="en-US" w:eastAsia="zh-CN"/>
              </w:rPr>
              <w:t>具体内容</w:t>
            </w:r>
          </w:p>
        </w:tc>
      </w:tr>
      <w:tr w14:paraId="3A0D9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4" w:hRule="atLeas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C184">
            <w:pPr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主体资质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073D9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提供有效《金融许可证》及营业执照，总部在闽设立分支机构，提供相关证明材料。</w:t>
            </w:r>
          </w:p>
        </w:tc>
      </w:tr>
      <w:tr w14:paraId="648D5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5A6CAA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主体能力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B08C7">
            <w:pPr>
              <w:pStyle w:val="2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ind w:left="0" w:leftChars="0" w:firstLine="0" w:firstLineChars="0"/>
              <w:textAlignment w:val="baseline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资本充足率≥12%，提供相关证明材料。</w:t>
            </w:r>
          </w:p>
        </w:tc>
      </w:tr>
      <w:tr w14:paraId="49849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BBC325"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本地化服务能力</w:t>
            </w:r>
          </w:p>
        </w:tc>
        <w:tc>
          <w:tcPr>
            <w:tcW w:w="6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69562">
            <w:pPr>
              <w:jc w:val="lef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Style w:val="21"/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 w:bidi="ar-SA"/>
              </w:rPr>
              <w:t>全省网点≥15家，提供相关证明材料。</w:t>
            </w:r>
          </w:p>
        </w:tc>
      </w:tr>
    </w:tbl>
    <w:p w14:paraId="11FD5EB8">
      <w:pPr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说明：上述资格任一项不符的，均视为审查不通过。</w:t>
      </w:r>
    </w:p>
    <w:p w14:paraId="1890828E">
      <w:pPr>
        <w:rPr>
          <w:rFonts w:hint="eastAsia" w:ascii="楷体_GB2312" w:hAnsi="楷体_GB2312" w:eastAsia="楷体_GB2312" w:cs="楷体_GB2312"/>
          <w:b/>
          <w:bCs/>
          <w:sz w:val="36"/>
          <w:szCs w:val="36"/>
        </w:rPr>
      </w:pPr>
    </w:p>
    <w:p w14:paraId="2A1C06E6">
      <w:pPr>
        <w:rPr>
          <w:rFonts w:ascii="楷体_GB2312" w:hAnsi="楷体_GB2312" w:eastAsia="楷体_GB2312" w:cs="楷体_GB2312"/>
          <w:b/>
          <w:bCs/>
          <w:sz w:val="36"/>
          <w:szCs w:val="36"/>
        </w:rPr>
      </w:pPr>
      <w:r>
        <w:rPr>
          <w:rFonts w:hint="eastAsia" w:ascii="楷体_GB2312" w:hAnsi="楷体_GB2312" w:eastAsia="楷体_GB2312" w:cs="楷体_GB2312"/>
          <w:b/>
          <w:bCs/>
          <w:sz w:val="36"/>
          <w:szCs w:val="36"/>
        </w:rPr>
        <w:t>（二）综合评分表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（总分值100分）</w:t>
      </w:r>
    </w:p>
    <w:tbl>
      <w:tblPr>
        <w:tblStyle w:val="13"/>
        <w:tblW w:w="907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3"/>
        <w:gridCol w:w="1522"/>
        <w:gridCol w:w="1083"/>
        <w:gridCol w:w="5550"/>
      </w:tblGrid>
      <w:tr w14:paraId="6A8D66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1" w:hRule="atLeast"/>
          <w:jc w:val="center"/>
        </w:trPr>
        <w:tc>
          <w:tcPr>
            <w:tcW w:w="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82E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评分项目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0D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详细内容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E3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分值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3EC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评分标准</w:t>
            </w:r>
          </w:p>
        </w:tc>
      </w:tr>
      <w:tr w14:paraId="3C323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D8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基本能力（50分）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02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1.资本充足率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05B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10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2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根据各总行发布的2024年度报告的指标为准，指标第一名得10分，第二名得8分，第三名得6分，以此类推。未提供不得分。</w:t>
            </w:r>
          </w:p>
        </w:tc>
      </w:tr>
      <w:tr w14:paraId="27082C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980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1A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2.资产收益率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35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D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根据各总行发布的2024年度报告的指标为准，指标第一名得15分，第二名得13分，第三名得12分，以此类推。未提供不得分。</w:t>
            </w:r>
          </w:p>
        </w:tc>
      </w:tr>
      <w:tr w14:paraId="07EF6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75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F2C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3.拔备覆盖率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7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CB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根据各总行发布的2024年度报告的指标为准，指标第一名得20分，第二名得18分，第三名得16分，以此类推。未提供不得分。</w:t>
            </w:r>
          </w:p>
        </w:tc>
      </w:tr>
      <w:tr w14:paraId="14E242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8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501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E4D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4.不良贷款率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8A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B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根据各总行发布的2024年度报告的指标为准，指标第一名得5分，第二名得4分，第三名得3分，以此类推。未提供不得分。</w:t>
            </w:r>
          </w:p>
        </w:tc>
      </w:tr>
      <w:tr w14:paraId="11EC4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4" w:hRule="atLeast"/>
          <w:jc w:val="center"/>
        </w:trPr>
        <w:tc>
          <w:tcPr>
            <w:tcW w:w="9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2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服务能力（45分）</w:t>
            </w: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1A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1.会展金融服务能力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95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F2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据提供展会服务金融服务方案（含服务团队（驻点）人员名单和联系方式）进行评分，方案内容表述全面、详实、可操作性强得5分；方案内容基本表述到位、可操作性一般得3分；方案内容表述不全面、可操作性差的得1分。</w:t>
            </w:r>
          </w:p>
        </w:tc>
      </w:tr>
      <w:tr w14:paraId="167352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9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E8B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B3A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2.国际贸易特色服务能力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A3A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7BD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提供国际贸易特色服务方案，方案内容表述全面、详实、可操作性强得5分；方案内容基本表述到位、可操作性一般得3分；方案内容表述不全面、可操作性差的得1分。</w:t>
            </w:r>
          </w:p>
        </w:tc>
      </w:tr>
      <w:tr w14:paraId="7543F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5F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5F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3.电商业务特色服务能力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28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9C2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提供电商业务特色服务方案，方案内容表述全面、详实、可操作性强得5分；方案内容基本表述到位、可操作性一般得3分；方案内容表述不全面、可操作性差的得1分。</w:t>
            </w:r>
          </w:p>
        </w:tc>
      </w:tr>
      <w:tr w14:paraId="3A2686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6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E9E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3411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4.机构实力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9E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3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根据提供的福建省内网点数量进行评分，第一名得5分，第二名得4分，第三名得3分，以此类推。未提供不得分。</w:t>
            </w:r>
          </w:p>
        </w:tc>
      </w:tr>
      <w:tr w14:paraId="3C5A0F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D3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5BCFA9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98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BD6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根据提供的福建省内工作人员数进行评分，第一名得5分，第二名得4分，第三名得3分，以此类推。未提供不得分。</w:t>
            </w:r>
          </w:p>
        </w:tc>
      </w:tr>
      <w:tr w14:paraId="6A3BDB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7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12C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563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5.特色服务</w:t>
            </w: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56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F766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据提供的普惠金融（助力小微企业发展）贡献度进行评分，以2024年末各银行机构发放小微企业贷款户数、余额、以及增量综合三项进行评分，第一名得5分，第二名得4分，第三名得3分，以此类推。未提供不得分。</w:t>
            </w:r>
          </w:p>
        </w:tc>
      </w:tr>
      <w:tr w14:paraId="18D08E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7" w:hRule="atLeast"/>
          <w:jc w:val="center"/>
        </w:trPr>
        <w:tc>
          <w:tcPr>
            <w:tcW w:w="9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F78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5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B10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</w:p>
        </w:tc>
        <w:tc>
          <w:tcPr>
            <w:tcW w:w="10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DB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5</w:t>
            </w:r>
          </w:p>
        </w:tc>
        <w:tc>
          <w:tcPr>
            <w:tcW w:w="55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12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根据提供的驻点服务承诺函（格式自拟）进行评分5分，承诺事项包括但不限于以下内容：1.驻点人员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FF0000"/>
                <w:kern w:val="0"/>
                <w:sz w:val="32"/>
                <w:szCs w:val="32"/>
                <w:u w:val="none"/>
                <w:lang w:val="en-US" w:eastAsia="zh-CN" w:bidi="ar"/>
              </w:rPr>
              <w:t>6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人以上；2.驻点服务时间2-3个月；3.驻点或服务期间产生的任何费用均需自行承担。不满足不得分。</w:t>
            </w:r>
          </w:p>
        </w:tc>
      </w:tr>
    </w:tbl>
    <w:p w14:paraId="4E735E9A">
      <w:pPr>
        <w:widowControl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footerReference r:id="rId4" w:type="first"/>
      <w:footerReference r:id="rId3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D224B9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C0CE8C">
                          <w:pPr>
                            <w:pStyle w:val="8"/>
                            <w:rPr>
                              <w:sz w:val="24"/>
                              <w:szCs w:val="40"/>
                            </w:rPr>
                          </w:pPr>
                          <w:r>
                            <w:rPr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sz w:val="24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C0CE8C">
                    <w:pPr>
                      <w:pStyle w:val="8"/>
                      <w:rPr>
                        <w:sz w:val="24"/>
                        <w:szCs w:val="40"/>
                      </w:rPr>
                    </w:pPr>
                    <w:r>
                      <w:rPr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sz w:val="24"/>
                        <w:szCs w:val="40"/>
                      </w:rPr>
                      <w:t>1</w:t>
                    </w:r>
                    <w:r>
                      <w:rPr>
                        <w:sz w:val="24"/>
                        <w:szCs w:val="4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27C042">
                          <w:pPr>
                            <w:pStyle w:val="8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27C042">
                    <w:pPr>
                      <w:pStyle w:val="8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FE529">
    <w:pPr>
      <w:pStyle w:val="8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B645FB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CbVWnM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B645FB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0MmM3YWEwYzFlZjk0NzE5MjYxNWQwMGRiZDI5NDIifQ=="/>
    <w:docVar w:name="KSO_WPS_MARK_KEY" w:val="323370c9-7d62-49f1-9307-a05ef6f25fec"/>
  </w:docVars>
  <w:rsids>
    <w:rsidRoot w:val="00E93148"/>
    <w:rsid w:val="000D718F"/>
    <w:rsid w:val="002E0262"/>
    <w:rsid w:val="0050229F"/>
    <w:rsid w:val="0051570A"/>
    <w:rsid w:val="00703ADF"/>
    <w:rsid w:val="00A164E1"/>
    <w:rsid w:val="00D26C59"/>
    <w:rsid w:val="00E93148"/>
    <w:rsid w:val="00F17CDB"/>
    <w:rsid w:val="01944FA6"/>
    <w:rsid w:val="03A90CAD"/>
    <w:rsid w:val="05FA37CC"/>
    <w:rsid w:val="06E671AF"/>
    <w:rsid w:val="08325763"/>
    <w:rsid w:val="0B9D0A82"/>
    <w:rsid w:val="0BF81D08"/>
    <w:rsid w:val="0BFF4C2C"/>
    <w:rsid w:val="0C1464BD"/>
    <w:rsid w:val="0D8F1A4E"/>
    <w:rsid w:val="0DE36B66"/>
    <w:rsid w:val="1128432B"/>
    <w:rsid w:val="11607D15"/>
    <w:rsid w:val="14CA4E53"/>
    <w:rsid w:val="17E54B40"/>
    <w:rsid w:val="18B147AD"/>
    <w:rsid w:val="1C483086"/>
    <w:rsid w:val="22013C2C"/>
    <w:rsid w:val="22224246"/>
    <w:rsid w:val="23055755"/>
    <w:rsid w:val="23642B16"/>
    <w:rsid w:val="24D40A88"/>
    <w:rsid w:val="252C744E"/>
    <w:rsid w:val="254B72B4"/>
    <w:rsid w:val="280E3822"/>
    <w:rsid w:val="28415FD2"/>
    <w:rsid w:val="28667DCF"/>
    <w:rsid w:val="29FB2613"/>
    <w:rsid w:val="2A126D50"/>
    <w:rsid w:val="2B3A32B3"/>
    <w:rsid w:val="2F3421F9"/>
    <w:rsid w:val="2FA8493D"/>
    <w:rsid w:val="2FEE6EA1"/>
    <w:rsid w:val="30237081"/>
    <w:rsid w:val="32712639"/>
    <w:rsid w:val="34A42225"/>
    <w:rsid w:val="3521416B"/>
    <w:rsid w:val="35497DFC"/>
    <w:rsid w:val="35A84518"/>
    <w:rsid w:val="36831BAD"/>
    <w:rsid w:val="37057CDD"/>
    <w:rsid w:val="384E5D69"/>
    <w:rsid w:val="38A76175"/>
    <w:rsid w:val="39600AA0"/>
    <w:rsid w:val="39ED6892"/>
    <w:rsid w:val="3A5E35CC"/>
    <w:rsid w:val="3AB94326"/>
    <w:rsid w:val="3E165561"/>
    <w:rsid w:val="3F47168F"/>
    <w:rsid w:val="4357113D"/>
    <w:rsid w:val="442F2BA6"/>
    <w:rsid w:val="45AB5849"/>
    <w:rsid w:val="49470B5C"/>
    <w:rsid w:val="49D766B3"/>
    <w:rsid w:val="4AF40152"/>
    <w:rsid w:val="4D18007D"/>
    <w:rsid w:val="4D743479"/>
    <w:rsid w:val="4E9B5FEF"/>
    <w:rsid w:val="4EB1627D"/>
    <w:rsid w:val="4F7E1655"/>
    <w:rsid w:val="53A9514E"/>
    <w:rsid w:val="53B90434"/>
    <w:rsid w:val="58004B86"/>
    <w:rsid w:val="58290B35"/>
    <w:rsid w:val="5CAE4572"/>
    <w:rsid w:val="609047A8"/>
    <w:rsid w:val="6189734A"/>
    <w:rsid w:val="61C548F8"/>
    <w:rsid w:val="625C7456"/>
    <w:rsid w:val="644A7EBC"/>
    <w:rsid w:val="64D7263F"/>
    <w:rsid w:val="69577A3C"/>
    <w:rsid w:val="6A466B6E"/>
    <w:rsid w:val="6ABE1108"/>
    <w:rsid w:val="6B0F549A"/>
    <w:rsid w:val="6D3026B2"/>
    <w:rsid w:val="6F8B3017"/>
    <w:rsid w:val="6F9B22CC"/>
    <w:rsid w:val="6FE679B6"/>
    <w:rsid w:val="70150F30"/>
    <w:rsid w:val="73072C8D"/>
    <w:rsid w:val="736D6C6F"/>
    <w:rsid w:val="77B04039"/>
    <w:rsid w:val="78956B37"/>
    <w:rsid w:val="79022BA3"/>
    <w:rsid w:val="7A983178"/>
    <w:rsid w:val="7AE17BA9"/>
    <w:rsid w:val="7B110A1F"/>
    <w:rsid w:val="7B73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4">
    <w:name w:val="heading 3"/>
    <w:basedOn w:val="1"/>
    <w:next w:val="1"/>
    <w:autoRedefine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15">
    <w:name w:val="Default Paragraph Font"/>
    <w:autoRedefine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autoRedefine/>
    <w:qFormat/>
    <w:uiPriority w:val="0"/>
    <w:pPr>
      <w:spacing w:line="400" w:lineRule="exact"/>
    </w:pPr>
    <w:rPr>
      <w:rFonts w:ascii="Times New Roman" w:hAnsi="Times New Roman" w:eastAsia="宋体" w:cs="Times New Roman"/>
      <w:sz w:val="24"/>
      <w:szCs w:val="20"/>
    </w:rPr>
  </w:style>
  <w:style w:type="paragraph" w:styleId="5">
    <w:name w:val="Normal Indent"/>
    <w:basedOn w:val="1"/>
    <w:autoRedefine/>
    <w:qFormat/>
    <w:uiPriority w:val="0"/>
    <w:pPr>
      <w:ind w:firstLine="420"/>
    </w:pPr>
  </w:style>
  <w:style w:type="paragraph" w:styleId="6">
    <w:name w:val="annotation text"/>
    <w:basedOn w:val="1"/>
    <w:link w:val="19"/>
    <w:autoRedefine/>
    <w:qFormat/>
    <w:uiPriority w:val="0"/>
    <w:pPr>
      <w:jc w:val="left"/>
    </w:pPr>
  </w:style>
  <w:style w:type="paragraph" w:styleId="7">
    <w:name w:val="Body Text Indent"/>
    <w:basedOn w:val="1"/>
    <w:next w:val="1"/>
    <w:autoRedefine/>
    <w:qFormat/>
    <w:uiPriority w:val="0"/>
    <w:pPr>
      <w:widowControl/>
      <w:tabs>
        <w:tab w:val="left" w:pos="0"/>
        <w:tab w:val="left" w:pos="993"/>
        <w:tab w:val="left" w:pos="1134"/>
      </w:tabs>
      <w:spacing w:line="500" w:lineRule="exact"/>
      <w:ind w:firstLine="567"/>
    </w:pPr>
    <w:rPr>
      <w:rFonts w:ascii="宋体"/>
      <w:sz w:val="28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paragraph" w:styleId="11">
    <w:name w:val="annotation subject"/>
    <w:basedOn w:val="6"/>
    <w:next w:val="6"/>
    <w:link w:val="20"/>
    <w:autoRedefine/>
    <w:qFormat/>
    <w:uiPriority w:val="0"/>
    <w:rPr>
      <w:b/>
      <w:bCs/>
    </w:rPr>
  </w:style>
  <w:style w:type="paragraph" w:styleId="12">
    <w:name w:val="Body Text First Indent 2"/>
    <w:basedOn w:val="7"/>
    <w:autoRedefine/>
    <w:qFormat/>
    <w:uiPriority w:val="99"/>
  </w:style>
  <w:style w:type="table" w:styleId="14">
    <w:name w:val="Table Grid"/>
    <w:basedOn w:val="1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annotation reference"/>
    <w:basedOn w:val="15"/>
    <w:autoRedefine/>
    <w:qFormat/>
    <w:uiPriority w:val="0"/>
    <w:rPr>
      <w:sz w:val="21"/>
      <w:szCs w:val="21"/>
    </w:rPr>
  </w:style>
  <w:style w:type="paragraph" w:customStyle="1" w:styleId="17">
    <w:name w:val="xl27"/>
    <w:basedOn w:val="1"/>
    <w:autoRedefine/>
    <w:qFormat/>
    <w:uiPriority w:val="0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sz w:val="24"/>
    </w:rPr>
  </w:style>
  <w:style w:type="paragraph" w:customStyle="1" w:styleId="18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19">
    <w:name w:val="批注文字 字符"/>
    <w:basedOn w:val="15"/>
    <w:link w:val="6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20">
    <w:name w:val="批注主题 字符"/>
    <w:basedOn w:val="19"/>
    <w:link w:val="11"/>
    <w:qFormat/>
    <w:uiPriority w:val="0"/>
    <w:rPr>
      <w:rFonts w:asciiTheme="minorHAnsi" w:hAnsiTheme="minorHAnsi" w:eastAsiaTheme="minorEastAsia" w:cstheme="minorBidi"/>
      <w:b/>
      <w:bCs/>
      <w:kern w:val="2"/>
      <w:sz w:val="21"/>
      <w:szCs w:val="24"/>
    </w:rPr>
  </w:style>
  <w:style w:type="character" w:customStyle="1" w:styleId="21">
    <w:name w:val="NormalCharacter"/>
    <w:semiHidden/>
    <w:qFormat/>
    <w:uiPriority w:val="0"/>
  </w:style>
  <w:style w:type="paragraph" w:customStyle="1" w:styleId="22">
    <w:name w:val="UserStyle_100"/>
    <w:basedOn w:val="1"/>
    <w:qFormat/>
    <w:uiPriority w:val="0"/>
    <w:pPr>
      <w:widowControl/>
      <w:ind w:firstLine="420"/>
      <w:jc w:val="both"/>
      <w:textAlignment w:val="baseline"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414</Words>
  <Characters>446</Characters>
  <Lines>32</Lines>
  <Paragraphs>9</Paragraphs>
  <TotalTime>3</TotalTime>
  <ScaleCrop>false</ScaleCrop>
  <LinksUpToDate>false</LinksUpToDate>
  <CharactersWithSpaces>446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2025-04-18T02:45:00Z</dcterms:created>
  <dc:creator>Administrator</dc:creator>
  <cp:lastModifiedBy>逍遥游</cp:lastModifiedBy>
  <cp:lastPrinted>2025-05-16T07:13:00Z</cp:lastPrinted>
  <dcterms:modified xsi:type="dcterms:W3CDTF">2025-10-11T09:20:30Z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52DC7F615AE647A6BD2906A8900A3495_13</vt:lpwstr>
  </property>
  <property fmtid="{D5CDD505-2E9C-101B-9397-08002B2CF9AE}" pid="4" name="KSOTemplateDocerSaveRecord">
    <vt:lpwstr>eyJoZGlkIjoiNWI2YmU4OGMyYmI2OWEzOTlmNzVkNTk5YWQwOTllMDciLCJ1c2VySWQiOiIyMzMwMjAxOTAifQ==</vt:lpwstr>
  </property>
</Properties>
</file>